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版本号：RH采字【20251125】号20251125001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机关热泵热水制备系统及充电桩电源工程项目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RH采字【20251125】号</w:t>
      </w:r>
      <w:r>
        <w:br/>
      </w:r>
      <w:r>
        <w:br/>
      </w:r>
      <w:r>
        <w:br/>
      </w:r>
    </w:p>
    <w:p>
      <w:pPr>
        <w:pStyle w:val="null3"/>
        <w:jc w:val="center"/>
        <w:outlineLvl w:val="2"/>
      </w:pPr>
      <w:r>
        <w:rPr>
          <w:rFonts w:ascii="仿宋_GB2312" w:hAnsi="仿宋_GB2312" w:cs="仿宋_GB2312" w:eastAsia="仿宋_GB2312"/>
          <w:sz w:val="28"/>
          <w:b/>
        </w:rPr>
        <w:t>陕西省人民代表大会常务委员会办公厅机关</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陕西省人民代表大会常务委员会办公厅机关</w:t>
      </w:r>
      <w:r>
        <w:rPr>
          <w:rFonts w:ascii="仿宋_GB2312" w:hAnsi="仿宋_GB2312" w:cs="仿宋_GB2312" w:eastAsia="仿宋_GB2312"/>
        </w:rPr>
        <w:t>委托，拟对</w:t>
      </w:r>
      <w:r>
        <w:rPr>
          <w:rFonts w:ascii="仿宋_GB2312" w:hAnsi="仿宋_GB2312" w:cs="仿宋_GB2312" w:eastAsia="仿宋_GB2312"/>
        </w:rPr>
        <w:t>机关热泵热水制备系统及充电桩电源工程项目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RH采字【20251125】号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机关热泵热水制备系统及充电桩电源工程项目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为办公生活区、客房、餐饮等区域提供生活热水，及充电桩电源接驳辅助工程；需满足的要求：综合考虑该区建筑的使用工况，空气能规格及性 能参数、荷载情况、系统配置及运行方式、使用和维修、节能与安全、经济效益等因素设计原则，最大限度降低运行成本。</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采购包1（陕西省人民代表大会常务委员会办公厅机关热泵热水制备系统及充电桩电源工程项目）：属于专门面向中小企业采购。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三种形式的资料提供任何一种即可）①提供2024年财务审计报告（成立时间至磋商时间不足一年的可提供成立后任意时段的资产负债表）；②提供基本存款账户信息及磋商日期前三个月内其基本存款账户开户银行出具的资信证明；③财政部门认可的政府采购专业担保机构出具的投标担保函；（依法不需要提供财务状况的供应商应提供相关证明）</w:t>
      </w:r>
    </w:p>
    <w:p>
      <w:pPr>
        <w:pStyle w:val="null3"/>
      </w:pPr>
      <w:r>
        <w:rPr>
          <w:rFonts w:ascii="仿宋_GB2312" w:hAnsi="仿宋_GB2312" w:cs="仿宋_GB2312" w:eastAsia="仿宋_GB2312"/>
        </w:rPr>
        <w:t>3、税收缴纳证明：提供响应文件提交截止时间一年内至少一个月的纳税证明或完税证明；</w:t>
      </w:r>
    </w:p>
    <w:p>
      <w:pPr>
        <w:pStyle w:val="null3"/>
      </w:pPr>
      <w:r>
        <w:rPr>
          <w:rFonts w:ascii="仿宋_GB2312" w:hAnsi="仿宋_GB2312" w:cs="仿宋_GB2312" w:eastAsia="仿宋_GB2312"/>
        </w:rPr>
        <w:t>4、社保资金缴纳证明：提供响应文件提交截止时间一年内至少一个月的社会保障资金缴存单据或社保机构开具的社会保险参保缴费情况证明；</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6、控股管理关系：提供直接控股和管理关系清单。若与其他供应商存在单位负责人为同一人或者存在直接控股、管理关系的，则按无效响应文件处理；</w:t>
      </w:r>
    </w:p>
    <w:p>
      <w:pPr>
        <w:pStyle w:val="null3"/>
      </w:pPr>
      <w:r>
        <w:rPr>
          <w:rFonts w:ascii="仿宋_GB2312" w:hAnsi="仿宋_GB2312" w:cs="仿宋_GB2312" w:eastAsia="仿宋_GB2312"/>
        </w:rPr>
        <w:t>7、设备、技术能力书面声明：提供具有履行合同所必需的设备和专业技术能力书面声明函；</w:t>
      </w:r>
    </w:p>
    <w:p>
      <w:pPr>
        <w:pStyle w:val="null3"/>
      </w:pPr>
      <w:r>
        <w:rPr>
          <w:rFonts w:ascii="仿宋_GB2312" w:hAnsi="仿宋_GB2312" w:cs="仿宋_GB2312" w:eastAsia="仿宋_GB2312"/>
        </w:rPr>
        <w:t>8、企业资质：具有建设行政主管部门颁发的建筑机电安装工程专业承包三级及以上资质，且具备有效的安全生产许可证；</w:t>
      </w:r>
    </w:p>
    <w:p>
      <w:pPr>
        <w:pStyle w:val="null3"/>
      </w:pPr>
      <w:r>
        <w:rPr>
          <w:rFonts w:ascii="仿宋_GB2312" w:hAnsi="仿宋_GB2312" w:cs="仿宋_GB2312" w:eastAsia="仿宋_GB2312"/>
        </w:rPr>
        <w:t>9、拟派项目经理资质：拟派项目经理具备建设行政主管部门颁发的机电工程专业二级或以上注册建造师执业资格，具备有效的安全生产考核合格证书（B证），在本单位注册，无在建项目；</w:t>
      </w:r>
    </w:p>
    <w:p>
      <w:pPr>
        <w:pStyle w:val="null3"/>
      </w:pPr>
      <w:r>
        <w:rPr>
          <w:rFonts w:ascii="仿宋_GB2312" w:hAnsi="仿宋_GB2312" w:cs="仿宋_GB2312" w:eastAsia="仿宋_GB2312"/>
        </w:rPr>
        <w:t>10、备案截图：供应商及拟派项目经理的基本信息在“陕西省建筑市场监管与诚信信息发布平台”可查询，外省进陕施工企业需提供陕西省住房和城乡建设厅官网企业库外省进陕施工企业及项目经理基本信息(提供网页面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陕西省人民代表大会常务委员会办公厅机关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西安市南关正街109号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魏昆凤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029-63910731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 菲、刘 轩、石雨鑫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18092403087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不涉及</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文、《国家发展改革委关于降低部分建设项目收费标准规范收费行为等有关问题的通知》发改价格[2011]534号文件规定，按标准计取代理服务费。 代理服务费缴纳及账户信息： （转账汇款时请注明“RH采字【2025****】号”） 开户名称：瑞恒项目管理有限公司 开户行：工行西安城南科技支行 账 号：3700024819200044620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陕西省人民代表大会常务委员会办公厅机关</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陕西省人民代表大会常务委员会办公厅机关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陕西省人民代表大会常务委员会办公厅机关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联系人：刘菲、刘轩</w:t>
      </w:r>
    </w:p>
    <w:p>
      <w:pPr>
        <w:pStyle w:val="null3"/>
      </w:pPr>
      <w:r>
        <w:rPr>
          <w:rFonts w:ascii="仿宋_GB2312" w:hAnsi="仿宋_GB2312" w:cs="仿宋_GB2312" w:eastAsia="仿宋_GB2312"/>
        </w:rPr>
        <w:t>联系电话：18092403087</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780,000.00</w:t>
      </w:r>
    </w:p>
    <w:p>
      <w:pPr>
        <w:pStyle w:val="null3"/>
      </w:pPr>
      <w:r>
        <w:rPr>
          <w:rFonts w:ascii="仿宋_GB2312" w:hAnsi="仿宋_GB2312" w:cs="仿宋_GB2312" w:eastAsia="仿宋_GB2312"/>
        </w:rPr>
        <w:t>采购包最高限价（元）: 780,000.00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充电桩电源工程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r>
        <w:tc>
          <w:tcPr>
            <w:tcW w:type="dxa" w:w="1384"/>
          </w:tcPr>
          <w:p>
            <w:pPr>
              <w:pStyle w:val="null3"/>
            </w:pPr>
            <w:r>
              <w:rPr>
                <w:rFonts w:ascii="仿宋_GB2312" w:hAnsi="仿宋_GB2312" w:cs="仿宋_GB2312" w:eastAsia="仿宋_GB2312"/>
              </w:rPr>
              <w:t>2</w:t>
            </w:r>
          </w:p>
        </w:tc>
        <w:tc>
          <w:tcPr>
            <w:tcW w:type="dxa" w:w="1384"/>
          </w:tcPr>
          <w:p>
            <w:pPr>
              <w:pStyle w:val="null3"/>
            </w:pPr>
            <w:r>
              <w:rPr>
                <w:rFonts w:ascii="仿宋_GB2312" w:hAnsi="仿宋_GB2312" w:cs="仿宋_GB2312" w:eastAsia="仿宋_GB2312"/>
              </w:rPr>
              <w:t>空气源热泵热水制备系统</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305,000.00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r>
        <w:tc>
          <w:tcPr>
            <w:tcW w:type="dxa" w:w="1384"/>
          </w:tcPr>
          <w:p>
            <w:pPr>
              <w:pStyle w:val="null3"/>
            </w:pPr>
            <w:r>
              <w:rPr>
                <w:rFonts w:ascii="仿宋_GB2312" w:hAnsi="仿宋_GB2312" w:cs="仿宋_GB2312" w:eastAsia="仿宋_GB2312"/>
              </w:rPr>
              <w:t>3</w:t>
            </w:r>
          </w:p>
        </w:tc>
        <w:tc>
          <w:tcPr>
            <w:tcW w:type="dxa" w:w="1384"/>
          </w:tcPr>
          <w:p>
            <w:pPr>
              <w:pStyle w:val="null3"/>
            </w:pPr>
            <w:r>
              <w:rPr>
                <w:rFonts w:ascii="仿宋_GB2312" w:hAnsi="仿宋_GB2312" w:cs="仿宋_GB2312" w:eastAsia="仿宋_GB2312"/>
              </w:rPr>
              <w:t>空气源热泵热水器</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295,000.00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标的名称：充电桩电源工程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105"/>
              <w:tblBorders>
                <w:top w:val="single"/>
                <w:left w:val="single"/>
                <w:bottom w:val="single"/>
                <w:right w:val="single"/>
                <w:insideH w:val="single"/>
                <w:insideV w:val="single"/>
              </w:tblBorders>
            </w:tblPr>
            <w:tblGrid>
              <w:gridCol w:w="185"/>
              <w:gridCol w:w="264"/>
              <w:gridCol w:w="612"/>
              <w:gridCol w:w="352"/>
              <w:gridCol w:w="789"/>
              <w:gridCol w:w="176"/>
              <w:gridCol w:w="176"/>
            </w:tblGrid>
            <w:tr>
              <w:tc>
                <w:tcPr>
                  <w:tcW w:type="dxa" w:w="2554"/>
                  <w:gridSpan w:val="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b/>
                      <w:color w:val="000000"/>
                    </w:rPr>
                    <w:t>采购需求清单</w:t>
                  </w:r>
                </w:p>
              </w:tc>
            </w:tr>
            <w:tr>
              <w:tc>
                <w:tcPr>
                  <w:tcW w:type="dxa" w:w="2554"/>
                  <w:gridSpan w:val="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b/>
                      <w:color w:val="000000"/>
                    </w:rPr>
                    <w:t>充电桩电源工程</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b/>
                      <w:color w:val="000000"/>
                    </w:rPr>
                    <w:t>序号</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b/>
                      <w:color w:val="000000"/>
                    </w:rPr>
                    <w:t>主要设备</w:t>
                  </w:r>
                </w:p>
              </w:tc>
              <w:tc>
                <w:tcPr>
                  <w:tcW w:type="dxa" w:w="61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b/>
                      <w:color w:val="000000"/>
                    </w:rPr>
                    <w:t>技术参数</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b/>
                      <w:color w:val="000000"/>
                    </w:rPr>
                    <w:t>规格</w:t>
                  </w:r>
                </w:p>
              </w:tc>
              <w:tc>
                <w:tcPr>
                  <w:tcW w:type="dxa" w:w="7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b/>
                      <w:color w:val="000000"/>
                    </w:rPr>
                    <w:t>做法描述</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b/>
                      <w:color w:val="000000"/>
                    </w:rPr>
                    <w:t>数量</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b/>
                      <w:color w:val="000000"/>
                    </w:rPr>
                    <w:t>单位</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rPr>
                    <w:t>充电桩电缆</w:t>
                  </w:r>
                </w:p>
              </w:tc>
              <w:tc>
                <w:tcPr>
                  <w:tcW w:type="dxa" w:w="61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YJV22-4*150+1*70</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国标</w:t>
                  </w:r>
                </w:p>
              </w:tc>
              <w:tc>
                <w:tcPr>
                  <w:tcW w:type="dxa" w:w="7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地埋、桥架敷设</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170</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米</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充电桩钢制镀锌电缆桥架</w:t>
                  </w:r>
                </w:p>
              </w:tc>
              <w:tc>
                <w:tcPr>
                  <w:tcW w:type="dxa" w:w="61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200*150</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国标</w:t>
                  </w:r>
                </w:p>
              </w:tc>
              <w:tc>
                <w:tcPr>
                  <w:tcW w:type="dxa" w:w="7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支架、螺纹连接</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80</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米</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3</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充电桩供电配电柜</w:t>
                  </w:r>
                </w:p>
              </w:tc>
              <w:tc>
                <w:tcPr>
                  <w:tcW w:type="dxa" w:w="61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drawing>
                      <wp:inline distT="0" distR="0" distB="0" distL="0">
                        <wp:extent cx="251460" cy="76200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251460" cy="762000"/>
                                </a:xfrm>
                                <a:prstGeom prst="rect">
                                  <a:avLst/>
                                </a:prstGeom>
                              </pic:spPr>
                            </pic:pic>
                          </a:graphicData>
                        </a:graphic>
                      </wp:inline>
                    </w:drawing>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800*800*2000</w:t>
                  </w:r>
                </w:p>
              </w:tc>
              <w:tc>
                <w:tcPr>
                  <w:tcW w:type="dxa" w:w="7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地脚螺栓连接</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台</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4</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充电桩电缆地埋镀锌钢制套管</w:t>
                  </w:r>
                </w:p>
              </w:tc>
              <w:tc>
                <w:tcPr>
                  <w:tcW w:type="dxa" w:w="61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Φ100*4</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国标</w:t>
                  </w:r>
                </w:p>
              </w:tc>
              <w:tc>
                <w:tcPr>
                  <w:tcW w:type="dxa" w:w="7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地埋</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20</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米</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5</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充电桩电缆沟盖砖</w:t>
                  </w:r>
                </w:p>
              </w:tc>
              <w:tc>
                <w:tcPr>
                  <w:tcW w:type="dxa" w:w="61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标砖</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240*120*60</w:t>
                  </w:r>
                </w:p>
              </w:tc>
              <w:tc>
                <w:tcPr>
                  <w:tcW w:type="dxa" w:w="7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地埋</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1500</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块</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6</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充电桩电缆沟盖砂</w:t>
                  </w:r>
                </w:p>
              </w:tc>
              <w:tc>
                <w:tcPr>
                  <w:tcW w:type="dxa" w:w="61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粗砂</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粗砂</w:t>
                  </w:r>
                </w:p>
              </w:tc>
              <w:tc>
                <w:tcPr>
                  <w:tcW w:type="dxa" w:w="7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地埋</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9</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m</w:t>
                  </w:r>
                  <w:r>
                    <w:rPr>
                      <w:rFonts w:ascii="仿宋_GB2312" w:hAnsi="仿宋_GB2312" w:cs="仿宋_GB2312" w:eastAsia="仿宋_GB2312"/>
                      <w:sz w:val="15"/>
                      <w:color w:val="000000"/>
                    </w:rPr>
                    <w:t>³</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7</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充电桩电缆沟罩面混泥土</w:t>
                  </w:r>
                </w:p>
              </w:tc>
              <w:tc>
                <w:tcPr>
                  <w:tcW w:type="dxa" w:w="61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C20</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C20</w:t>
                  </w:r>
                </w:p>
              </w:tc>
              <w:tc>
                <w:tcPr>
                  <w:tcW w:type="dxa" w:w="7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振捣平整</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9</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m</w:t>
                  </w:r>
                  <w:r>
                    <w:rPr>
                      <w:rFonts w:ascii="仿宋_GB2312" w:hAnsi="仿宋_GB2312" w:cs="仿宋_GB2312" w:eastAsia="仿宋_GB2312"/>
                      <w:sz w:val="15"/>
                      <w:color w:val="000000"/>
                    </w:rPr>
                    <w:t>³</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8</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充电桩电缆沟人工开挖</w:t>
                  </w:r>
                </w:p>
              </w:tc>
              <w:tc>
                <w:tcPr>
                  <w:tcW w:type="dxa" w:w="61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宽0.6m，深0.75m，长度90米</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7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1.</w:t>
                  </w:r>
                  <w:r>
                    <w:rPr>
                      <w:rFonts w:ascii="仿宋_GB2312" w:hAnsi="仿宋_GB2312" w:cs="仿宋_GB2312" w:eastAsia="仿宋_GB2312"/>
                      <w:sz w:val="15"/>
                      <w:color w:val="000000"/>
                    </w:rPr>
                    <w:t>翘掉路面600*900*100石材（保护性拆除，后期还要利用）；                     2.破除150厚路基混凝土；                 3.挖掘三七回填土，下挖深度500.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90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米</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9</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充电桩电缆桥架安装</w:t>
                  </w:r>
                </w:p>
              </w:tc>
              <w:tc>
                <w:tcPr>
                  <w:tcW w:type="dxa" w:w="612"/>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7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50*50*5</w:t>
                  </w:r>
                  <w:r>
                    <w:rPr>
                      <w:rFonts w:ascii="仿宋_GB2312" w:hAnsi="仿宋_GB2312" w:cs="仿宋_GB2312" w:eastAsia="仿宋_GB2312"/>
                      <w:sz w:val="15"/>
                      <w:color w:val="000000"/>
                    </w:rPr>
                    <w:t>角钢支架，间距不大于1.5m</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80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米</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10</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充电桩电缆敷设</w:t>
                  </w:r>
                </w:p>
              </w:tc>
              <w:tc>
                <w:tcPr>
                  <w:tcW w:type="dxa" w:w="612"/>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7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地埋90米（其中采用钢制套管20米）；桥架敷设80米</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170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米</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11</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充电桩供电配电柜安装及调试</w:t>
                  </w:r>
                </w:p>
              </w:tc>
              <w:tc>
                <w:tcPr>
                  <w:tcW w:type="dxa" w:w="61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7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10#</w:t>
                  </w:r>
                  <w:r>
                    <w:rPr>
                      <w:rFonts w:ascii="仿宋_GB2312" w:hAnsi="仿宋_GB2312" w:cs="仿宋_GB2312" w:eastAsia="仿宋_GB2312"/>
                      <w:sz w:val="15"/>
                      <w:color w:val="000000"/>
                    </w:rPr>
                    <w:t>镀锌槽钢基座，螺栓连接，电缆头制作压接、调试</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项</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12</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电缆沟回填及路面石材恢复</w:t>
                  </w:r>
                </w:p>
              </w:tc>
              <w:tc>
                <w:tcPr>
                  <w:tcW w:type="dxa" w:w="61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7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1.</w:t>
                  </w:r>
                  <w:r>
                    <w:rPr>
                      <w:rFonts w:ascii="仿宋_GB2312" w:hAnsi="仿宋_GB2312" w:cs="仿宋_GB2312" w:eastAsia="仿宋_GB2312"/>
                      <w:sz w:val="15"/>
                      <w:color w:val="000000"/>
                    </w:rPr>
                    <w:t>电缆盖砂150厚，压实；                  2.电缆改装一层，密拼平整；                      3.夯实三七灰土，厚度400；                   4.路基混凝土，厚度150，振捣平整；                  5.铺贴原有600*900*100路面石材。</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90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米</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13</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围挡搭建及拆除</w:t>
                  </w:r>
                </w:p>
              </w:tc>
              <w:tc>
                <w:tcPr>
                  <w:tcW w:type="dxa" w:w="61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高度2米铁皮围挡</w:t>
                  </w:r>
                </w:p>
              </w:tc>
              <w:tc>
                <w:tcPr>
                  <w:tcW w:type="dxa" w:w="7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地脚螺栓连接</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35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米</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14</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多余渣土外运</w:t>
                  </w:r>
                </w:p>
              </w:tc>
              <w:tc>
                <w:tcPr>
                  <w:tcW w:type="dxa" w:w="61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7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m</w:t>
                  </w:r>
                  <w:r>
                    <w:rPr>
                      <w:rFonts w:ascii="仿宋_GB2312" w:hAnsi="仿宋_GB2312" w:cs="仿宋_GB2312" w:eastAsia="仿宋_GB2312"/>
                      <w:sz w:val="15"/>
                      <w:color w:val="000000"/>
                    </w:rPr>
                    <w:t>³</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一、其他说明</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、本工程未设置暂列金。</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、本工程量清单所提供工程项目特征仅表达了主要工程做法，组价时应依据方案、相关图集，结合磋商文件，合同条款，技术规范、答疑纪要等进行组价。</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供应商需根据现场现有情况和相关要求计价，清单未列明且可能发生或工程量的变化所产生的费用，需在报价中进行综合考虑，包含解决施工用水水源费用、解决施工用电电源费用及完成本工程所需要的全部费用。</w:t>
            </w:r>
          </w:p>
          <w:p>
            <w:pPr>
              <w:pStyle w:val="null3"/>
              <w:jc w:val="both"/>
            </w:pPr>
            <w:r>
              <w:rPr>
                <w:rFonts w:ascii="仿宋_GB2312" w:hAnsi="仿宋_GB2312" w:cs="仿宋_GB2312" w:eastAsia="仿宋_GB2312"/>
                <w:sz w:val="21"/>
                <w:b/>
              </w:rPr>
              <w:t>二、商务条款</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、付款方式：本项目采用固定总价。</w:t>
            </w:r>
          </w:p>
          <w:p>
            <w:pPr>
              <w:pStyle w:val="null3"/>
              <w:jc w:val="both"/>
            </w:pPr>
            <w:r>
              <w:rPr>
                <w:rFonts w:ascii="仿宋_GB2312" w:hAnsi="仿宋_GB2312" w:cs="仿宋_GB2312" w:eastAsia="仿宋_GB2312"/>
                <w:sz w:val="21"/>
              </w:rPr>
              <w:t>（1）充电桩电源工程部分：①合同签订后甲方向乙方支付总价款的50%，作为预付款；②材料运抵现场，现场基础施工完成，支付总价款的30%；③全部施工完成，验收合格后支付总价款的17%，预留总价款3%作为工程质量缺陷保修金，乙方向甲方提供质量缺陷保修金商业保函，甲方将工程质量缺陷保修金随尾款一并支付给乙方。质量缺陷保修金商业保函期限为验收合格之日起24个月期满。</w:t>
            </w:r>
          </w:p>
          <w:p>
            <w:pPr>
              <w:pStyle w:val="null3"/>
              <w:jc w:val="both"/>
            </w:pPr>
            <w:r>
              <w:rPr>
                <w:rFonts w:ascii="仿宋_GB2312" w:hAnsi="仿宋_GB2312" w:cs="仿宋_GB2312" w:eastAsia="仿宋_GB2312"/>
                <w:sz w:val="21"/>
              </w:rPr>
              <w:t>（2）以转账的形式支付到合同约定的施工单位。</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、工期：15日历天</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、质量要求：符合工程质量验收标准规定，验收合格。</w:t>
            </w:r>
          </w:p>
          <w:p>
            <w:pPr>
              <w:pStyle w:val="null3"/>
              <w:jc w:val="both"/>
            </w:pPr>
            <w:r>
              <w:rPr>
                <w:rFonts w:ascii="仿宋_GB2312" w:hAnsi="仿宋_GB2312" w:cs="仿宋_GB2312" w:eastAsia="仿宋_GB2312"/>
                <w:sz w:val="21"/>
              </w:rPr>
              <w:t>质量保修期：按照2年时间执行。</w:t>
            </w:r>
          </w:p>
          <w:p>
            <w:pPr>
              <w:pStyle w:val="null3"/>
              <w:jc w:val="both"/>
            </w:pPr>
          </w:p>
        </w:tc>
      </w:tr>
    </w:tbl>
    <w:p>
      <w:pPr>
        <w:pStyle w:val="null3"/>
      </w:pPr>
      <w:r>
        <w:rPr>
          <w:rFonts w:ascii="仿宋_GB2312" w:hAnsi="仿宋_GB2312" w:cs="仿宋_GB2312" w:eastAsia="仿宋_GB2312"/>
        </w:rPr>
        <w:t>标的名称：空气源热泵热水制备系统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105"/>
              <w:tblBorders>
                <w:top w:val="single"/>
                <w:left w:val="single"/>
                <w:bottom w:val="single"/>
                <w:right w:val="single"/>
                <w:insideH w:val="single"/>
                <w:insideV w:val="single"/>
              </w:tblBorders>
            </w:tblPr>
            <w:tblGrid>
              <w:gridCol w:w="185"/>
              <w:gridCol w:w="394"/>
              <w:gridCol w:w="659"/>
              <w:gridCol w:w="264"/>
              <w:gridCol w:w="700"/>
              <w:gridCol w:w="176"/>
              <w:gridCol w:w="176"/>
            </w:tblGrid>
            <w:tr>
              <w:tc>
                <w:tcPr>
                  <w:tcW w:type="dxa" w:w="2554"/>
                  <w:gridSpan w:val="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b/>
                      <w:color w:val="000000"/>
                    </w:rPr>
                    <w:t>采购需求清单</w:t>
                  </w:r>
                </w:p>
              </w:tc>
            </w:tr>
            <w:tr>
              <w:tc>
                <w:tcPr>
                  <w:tcW w:type="dxa" w:w="2554"/>
                  <w:gridSpan w:val="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b/>
                      <w:color w:val="000000"/>
                    </w:rPr>
                    <w:t>空气源热泵工程</w:t>
                  </w:r>
                </w:p>
              </w:tc>
            </w:tr>
            <w:tr>
              <w:tc>
                <w:tcPr>
                  <w:tcW w:type="dxa" w:w="2554"/>
                  <w:gridSpan w:val="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b/>
                      <w:color w:val="000000"/>
                    </w:rPr>
                    <w:t>空气源热泵施工及辅材部分</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b/>
                      <w:color w:val="000000"/>
                    </w:rPr>
                    <w:t>序号</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b/>
                      <w:color w:val="000000"/>
                    </w:rPr>
                    <w:t>主要设备</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b/>
                      <w:color w:val="000000"/>
                    </w:rPr>
                    <w:t>技术参数</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b/>
                      <w:color w:val="000000"/>
                    </w:rPr>
                    <w:t>规格</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b/>
                      <w:color w:val="000000"/>
                    </w:rPr>
                    <w:t>做法描述</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b/>
                      <w:color w:val="000000"/>
                    </w:rPr>
                    <w:t>数量</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b/>
                      <w:color w:val="000000"/>
                    </w:rPr>
                    <w:t>单位</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12</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水位开关</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国标</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与补水电磁阀联动</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个</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13</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热镀锌钢管</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DN65-80</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国标</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焊接连接</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240</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米</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14</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热镀锌钢管</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DN100</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国标</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焊接连接</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98</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米</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15</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热镀锌钢管</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DN40</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国标</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焊接连接</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160</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米</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16</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Y</w:t>
                  </w:r>
                  <w:r>
                    <w:rPr>
                      <w:rFonts w:ascii="仿宋_GB2312" w:hAnsi="仿宋_GB2312" w:cs="仿宋_GB2312" w:eastAsia="仿宋_GB2312"/>
                      <w:sz w:val="15"/>
                      <w:color w:val="000000"/>
                    </w:rPr>
                    <w:t>型过滤器</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DN80</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国标</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法兰连接</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6</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个</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17</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Y</w:t>
                  </w:r>
                  <w:r>
                    <w:rPr>
                      <w:rFonts w:ascii="仿宋_GB2312" w:hAnsi="仿宋_GB2312" w:cs="仿宋_GB2312" w:eastAsia="仿宋_GB2312"/>
                      <w:sz w:val="15"/>
                      <w:color w:val="000000"/>
                    </w:rPr>
                    <w:t>型过滤器</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DN40</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国标</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丝接/法兰连接</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6</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个</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18</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蝶阀</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DN80</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国标</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法兰连接</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12</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个</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19</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蝶阀</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DN40</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国标</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法兰连接</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12</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个</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20</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软连接</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DN80</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国标</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法兰连接</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12</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个</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21</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软连接</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DN40</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国标</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法兰连接</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12</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个</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22</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闸阀</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DN40</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国标</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丝接/法兰连接</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8</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个</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23</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闸阀</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DN32</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国标</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丝接/法兰连接</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12</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个</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24</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PPR</w:t>
                  </w:r>
                  <w:r>
                    <w:rPr>
                      <w:rFonts w:ascii="仿宋_GB2312" w:hAnsi="仿宋_GB2312" w:cs="仿宋_GB2312" w:eastAsia="仿宋_GB2312"/>
                      <w:sz w:val="15"/>
                      <w:color w:val="000000"/>
                    </w:rPr>
                    <w:t>聚氨酯发泡一体管</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de90*160</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国标</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热熔连接</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340</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米</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25</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PPR</w:t>
                  </w:r>
                  <w:r>
                    <w:rPr>
                      <w:rFonts w:ascii="仿宋_GB2312" w:hAnsi="仿宋_GB2312" w:cs="仿宋_GB2312" w:eastAsia="仿宋_GB2312"/>
                      <w:sz w:val="15"/>
                      <w:color w:val="000000"/>
                    </w:rPr>
                    <w:t>聚氨酯发泡一体管</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de50*110</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国标</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热熔连接</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120</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米</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26</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热泵控制电缆</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YJV-3*10+2*4</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国标</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桥架敷设</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75</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米</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27</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甲方变压器至机组控制柜主电缆</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YJV-3*35+2*25</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国标</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桥架敷设</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75</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米</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28</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甲方变压器至机组控制柜主电缆</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YJV-3*25+2*16</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国标</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桥架敷设</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60</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米</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29</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水泵控制电缆</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YJV-4*4</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国标</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桥架敷设</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120</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米</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30</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水泵控制电缆</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YJV-5*6</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国标</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桥架敷设</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240</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米</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31</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机组钢制镀锌电缆桥架</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150*100</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国标</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螺纹连接</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150</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米</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32</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空气能辅材</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辅材辅料，机组周围栅栏，地面排水等</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辅材辅料，机组周围栅栏，地面排水等</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项</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33</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办公楼原有水箱改造</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清洗，重新开孔</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项</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34</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水箱水泵热泵基础</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10#</w:t>
                  </w:r>
                  <w:r>
                    <w:rPr>
                      <w:rFonts w:ascii="仿宋_GB2312" w:hAnsi="仿宋_GB2312" w:cs="仿宋_GB2312" w:eastAsia="仿宋_GB2312"/>
                      <w:sz w:val="15"/>
                      <w:color w:val="000000"/>
                    </w:rPr>
                    <w:t>槽钢、5#角钢等</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国标</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现场焊接</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2300</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kg</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35</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管道保温</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30mm</w:t>
                  </w:r>
                  <w:r>
                    <w:rPr>
                      <w:rFonts w:ascii="仿宋_GB2312" w:hAnsi="仿宋_GB2312" w:cs="仿宋_GB2312" w:eastAsia="仿宋_GB2312"/>
                      <w:sz w:val="15"/>
                      <w:color w:val="000000"/>
                    </w:rPr>
                    <w:t>橡塑保温；外包铝皮</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国标</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橡塑保温套管/橡塑保温板；外包铝皮</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480</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米</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36</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运输吊装</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项</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37</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安装调试费</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项</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38</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管沟开挖及回填工费</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管沟；宽：0.6m；深：0.8m；长：35m</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沙土回填</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项</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39</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水箱基础土方开挖及回填</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平台；宽：3m；深：0.8m；长：6m</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土方开挖，三七灰土夯实</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项</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40</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水箱混凝土基础制作</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平台；宽：3m；深：0.3m；长：6m</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土方开挖夯实、C25混凝土浇筑、@200双层双向钢筋笼∮16螺纹钢</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项</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41</w:t>
                  </w:r>
                </w:p>
              </w:tc>
              <w:tc>
                <w:tcPr>
                  <w:tcW w:type="dxa" w:w="39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管沟回填</w:t>
                  </w:r>
                </w:p>
              </w:tc>
              <w:tc>
                <w:tcPr>
                  <w:tcW w:type="dxa" w:w="65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管沟及地面破坏部分恢复</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混凝土浇筑恢复，及地面石材</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项</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b/>
              </w:rPr>
              <w:t>一、</w:t>
            </w:r>
            <w:r>
              <w:rPr>
                <w:rFonts w:ascii="仿宋_GB2312" w:hAnsi="仿宋_GB2312" w:cs="仿宋_GB2312" w:eastAsia="仿宋_GB2312"/>
                <w:sz w:val="21"/>
                <w:b/>
              </w:rPr>
              <w:t>其他说明</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、本工程未设置暂列金。</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、本工程量清单所提供工程项目特征仅表达了主要工程做法，组价时应依据</w:t>
            </w:r>
            <w:r>
              <w:rPr>
                <w:rFonts w:ascii="仿宋_GB2312" w:hAnsi="仿宋_GB2312" w:cs="仿宋_GB2312" w:eastAsia="仿宋_GB2312"/>
                <w:sz w:val="21"/>
              </w:rPr>
              <w:t>方案</w:t>
            </w:r>
            <w:r>
              <w:rPr>
                <w:rFonts w:ascii="仿宋_GB2312" w:hAnsi="仿宋_GB2312" w:cs="仿宋_GB2312" w:eastAsia="仿宋_GB2312"/>
                <w:sz w:val="21"/>
              </w:rPr>
              <w:t>、相关图集，结合</w:t>
            </w:r>
            <w:r>
              <w:rPr>
                <w:rFonts w:ascii="仿宋_GB2312" w:hAnsi="仿宋_GB2312" w:cs="仿宋_GB2312" w:eastAsia="仿宋_GB2312"/>
                <w:sz w:val="21"/>
              </w:rPr>
              <w:t>磋商</w:t>
            </w:r>
            <w:r>
              <w:rPr>
                <w:rFonts w:ascii="仿宋_GB2312" w:hAnsi="仿宋_GB2312" w:cs="仿宋_GB2312" w:eastAsia="仿宋_GB2312"/>
                <w:sz w:val="21"/>
              </w:rPr>
              <w:t>文件，合同条款，技术规范、答疑纪要等进行组价。</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需根据现场现有情况和相关要求计价，清单未列明且可能发生或工程量的变化所产生的费用，需在报价中进行综合考虑，包含解决施工用水水源费用、解决施工用电电源费用及完成本工程所需要的全部费用。</w:t>
            </w:r>
          </w:p>
          <w:p>
            <w:pPr>
              <w:pStyle w:val="null3"/>
            </w:pPr>
            <w:r>
              <w:rPr>
                <w:rFonts w:ascii="仿宋_GB2312" w:hAnsi="仿宋_GB2312" w:cs="仿宋_GB2312" w:eastAsia="仿宋_GB2312"/>
                <w:sz w:val="21"/>
                <w:b/>
              </w:rPr>
              <w:t>二、商务条款</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、付款方式：</w:t>
            </w:r>
            <w:r>
              <w:rPr>
                <w:rFonts w:ascii="仿宋_GB2312" w:hAnsi="仿宋_GB2312" w:cs="仿宋_GB2312" w:eastAsia="仿宋_GB2312"/>
                <w:sz w:val="21"/>
              </w:rPr>
              <w:t>本项目采用固定总价。</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空气源热泵施工及辅材部分</w:t>
            </w:r>
            <w:r>
              <w:rPr>
                <w:rFonts w:ascii="仿宋_GB2312" w:hAnsi="仿宋_GB2312" w:cs="仿宋_GB2312" w:eastAsia="仿宋_GB2312"/>
                <w:sz w:val="21"/>
              </w:rPr>
              <w:t>：①合同签订后甲方向乙方支付总价款的</w:t>
            </w:r>
            <w:r>
              <w:rPr>
                <w:rFonts w:ascii="仿宋_GB2312" w:hAnsi="仿宋_GB2312" w:cs="仿宋_GB2312" w:eastAsia="仿宋_GB2312"/>
                <w:sz w:val="21"/>
              </w:rPr>
              <w:t>50%</w:t>
            </w:r>
            <w:r>
              <w:rPr>
                <w:rFonts w:ascii="仿宋_GB2312" w:hAnsi="仿宋_GB2312" w:cs="仿宋_GB2312" w:eastAsia="仿宋_GB2312"/>
                <w:sz w:val="21"/>
              </w:rPr>
              <w:t>，作为预付款；②辅材全部运抵现场，现场基础施工完成，支付总价款的</w:t>
            </w:r>
            <w:r>
              <w:rPr>
                <w:rFonts w:ascii="仿宋_GB2312" w:hAnsi="仿宋_GB2312" w:cs="仿宋_GB2312" w:eastAsia="仿宋_GB2312"/>
                <w:sz w:val="21"/>
              </w:rPr>
              <w:t>30%</w:t>
            </w:r>
            <w:r>
              <w:rPr>
                <w:rFonts w:ascii="仿宋_GB2312" w:hAnsi="仿宋_GB2312" w:cs="仿宋_GB2312" w:eastAsia="仿宋_GB2312"/>
                <w:sz w:val="21"/>
              </w:rPr>
              <w:t>；③安装调试完成，验收合格后支付总价款的</w:t>
            </w:r>
            <w:r>
              <w:rPr>
                <w:rFonts w:ascii="仿宋_GB2312" w:hAnsi="仿宋_GB2312" w:cs="仿宋_GB2312" w:eastAsia="仿宋_GB2312"/>
                <w:sz w:val="21"/>
              </w:rPr>
              <w:t>17%</w:t>
            </w:r>
            <w:r>
              <w:rPr>
                <w:rFonts w:ascii="仿宋_GB2312" w:hAnsi="仿宋_GB2312" w:cs="仿宋_GB2312" w:eastAsia="仿宋_GB2312"/>
                <w:sz w:val="21"/>
              </w:rPr>
              <w:t>，预留总价款</w:t>
            </w:r>
            <w:r>
              <w:rPr>
                <w:rFonts w:ascii="仿宋_GB2312" w:hAnsi="仿宋_GB2312" w:cs="仿宋_GB2312" w:eastAsia="仿宋_GB2312"/>
                <w:sz w:val="21"/>
              </w:rPr>
              <w:t>3%</w:t>
            </w:r>
            <w:r>
              <w:rPr>
                <w:rFonts w:ascii="仿宋_GB2312" w:hAnsi="仿宋_GB2312" w:cs="仿宋_GB2312" w:eastAsia="仿宋_GB2312"/>
                <w:sz w:val="21"/>
              </w:rPr>
              <w:t>作为工程质量缺陷保修金，乙方向甲方提供质量缺陷保修金商业保函，甲方将工程质量缺陷保修金随尾款一并支付给乙方。质量缺陷保修金商业保函期限为验收合格之日起</w:t>
            </w:r>
            <w:r>
              <w:rPr>
                <w:rFonts w:ascii="仿宋_GB2312" w:hAnsi="仿宋_GB2312" w:cs="仿宋_GB2312" w:eastAsia="仿宋_GB2312"/>
                <w:sz w:val="21"/>
              </w:rPr>
              <w:t>24</w:t>
            </w:r>
            <w:r>
              <w:rPr>
                <w:rFonts w:ascii="仿宋_GB2312" w:hAnsi="仿宋_GB2312" w:cs="仿宋_GB2312" w:eastAsia="仿宋_GB2312"/>
                <w:sz w:val="21"/>
              </w:rPr>
              <w:t>个月期满。</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）以转账的形式支付到合同约定的施工单位。</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、工期：</w:t>
            </w:r>
            <w:r>
              <w:rPr>
                <w:rFonts w:ascii="仿宋_GB2312" w:hAnsi="仿宋_GB2312" w:cs="仿宋_GB2312" w:eastAsia="仿宋_GB2312"/>
                <w:sz w:val="21"/>
              </w:rPr>
              <w:t>15</w:t>
            </w:r>
            <w:r>
              <w:rPr>
                <w:rFonts w:ascii="仿宋_GB2312" w:hAnsi="仿宋_GB2312" w:cs="仿宋_GB2312" w:eastAsia="仿宋_GB2312"/>
                <w:sz w:val="21"/>
              </w:rPr>
              <w:t>日历天</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、质量要求：符合工程质量验收标准规定，验收合格。</w:t>
            </w:r>
          </w:p>
          <w:p>
            <w:pPr>
              <w:pStyle w:val="null3"/>
              <w:ind w:firstLine="630"/>
            </w:pPr>
            <w:r>
              <w:rPr>
                <w:rFonts w:ascii="仿宋_GB2312" w:hAnsi="仿宋_GB2312" w:cs="仿宋_GB2312" w:eastAsia="仿宋_GB2312"/>
                <w:sz w:val="21"/>
              </w:rPr>
              <w:t>质量保修期：按照</w:t>
            </w:r>
            <w:r>
              <w:rPr>
                <w:rFonts w:ascii="仿宋_GB2312" w:hAnsi="仿宋_GB2312" w:cs="仿宋_GB2312" w:eastAsia="仿宋_GB2312"/>
                <w:sz w:val="21"/>
              </w:rPr>
              <w:t>2</w:t>
            </w:r>
            <w:r>
              <w:rPr>
                <w:rFonts w:ascii="仿宋_GB2312" w:hAnsi="仿宋_GB2312" w:cs="仿宋_GB2312" w:eastAsia="仿宋_GB2312"/>
                <w:sz w:val="21"/>
              </w:rPr>
              <w:t>年时间执行。</w:t>
            </w:r>
          </w:p>
          <w:p>
            <w:pPr>
              <w:pStyle w:val="null3"/>
              <w:ind w:firstLine="630"/>
            </w:pPr>
          </w:p>
        </w:tc>
      </w:tr>
    </w:tbl>
    <w:p>
      <w:pPr>
        <w:pStyle w:val="null3"/>
      </w:pPr>
      <w:r>
        <w:rPr>
          <w:rFonts w:ascii="仿宋_GB2312" w:hAnsi="仿宋_GB2312" w:cs="仿宋_GB2312" w:eastAsia="仿宋_GB2312"/>
        </w:rPr>
        <w:t>标的名称：空气源热泵热水器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105"/>
              <w:tblBorders>
                <w:top w:val="single"/>
                <w:left w:val="single"/>
                <w:bottom w:val="single"/>
                <w:right w:val="single"/>
                <w:insideH w:val="single"/>
                <w:insideV w:val="single"/>
              </w:tblBorders>
            </w:tblPr>
            <w:tblGrid>
              <w:gridCol w:w="185"/>
              <w:gridCol w:w="264"/>
              <w:gridCol w:w="700"/>
              <w:gridCol w:w="524"/>
              <w:gridCol w:w="524"/>
              <w:gridCol w:w="176"/>
              <w:gridCol w:w="176"/>
            </w:tblGrid>
            <w:tr>
              <w:tc>
                <w:tcPr>
                  <w:tcW w:type="dxa" w:w="2549"/>
                  <w:gridSpan w:val="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b/>
                      <w:color w:val="000000"/>
                    </w:rPr>
                    <w:t>采购需求清单</w:t>
                  </w:r>
                </w:p>
              </w:tc>
            </w:tr>
            <w:tr>
              <w:tc>
                <w:tcPr>
                  <w:tcW w:type="dxa" w:w="2549"/>
                  <w:gridSpan w:val="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b/>
                      <w:color w:val="000000"/>
                    </w:rPr>
                    <w:t>空气源热泵工程</w:t>
                  </w:r>
                </w:p>
              </w:tc>
            </w:tr>
            <w:tr>
              <w:tc>
                <w:tcPr>
                  <w:tcW w:type="dxa" w:w="2549"/>
                  <w:gridSpan w:val="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b/>
                      <w:color w:val="000000"/>
                    </w:rPr>
                    <w:t>空气源热泵设备部分</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b/>
                      <w:color w:val="000000"/>
                    </w:rPr>
                    <w:t>序号</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b/>
                      <w:color w:val="000000"/>
                    </w:rPr>
                    <w:t>主要设备</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b/>
                      <w:color w:val="000000"/>
                    </w:rPr>
                    <w:t>技术参数</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b/>
                      <w:color w:val="000000"/>
                    </w:rPr>
                    <w:t>规格</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b/>
                      <w:color w:val="000000"/>
                    </w:rPr>
                    <w:t>做法描述</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b/>
                      <w:color w:val="000000"/>
                    </w:rPr>
                    <w:t>数量</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b/>
                      <w:color w:val="000000"/>
                    </w:rPr>
                    <w:t>单位</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空气源热泵热水机组</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5"/>
                      <w:color w:val="000000"/>
                    </w:rPr>
                    <w:t>额定1制热量（干/湿球温度7/6℃）：≥32kw；额定消耗功率：≥8.1kw；</w:t>
                  </w:r>
                  <w:r>
                    <w:br/>
                  </w:r>
                  <w:r>
                    <w:rPr>
                      <w:rFonts w:ascii="仿宋_GB2312" w:hAnsi="仿宋_GB2312" w:cs="仿宋_GB2312" w:eastAsia="仿宋_GB2312"/>
                      <w:sz w:val="15"/>
                      <w:color w:val="000000"/>
                    </w:rPr>
                    <w:t xml:space="preserve"> 额定2制热量（干/湿球温度20/15℃）：≥36kw；额定消耗功率：≥8.45kw；循环水流量：≥7m</w:t>
                  </w:r>
                  <w:r>
                    <w:rPr>
                      <w:rFonts w:ascii="仿宋_GB2312" w:hAnsi="仿宋_GB2312" w:cs="仿宋_GB2312" w:eastAsia="仿宋_GB2312"/>
                      <w:sz w:val="15"/>
                      <w:color w:val="000000"/>
                    </w:rPr>
                    <w:t>³</w:t>
                  </w:r>
                  <w:r>
                    <w:rPr>
                      <w:rFonts w:ascii="仿宋_GB2312" w:hAnsi="仿宋_GB2312" w:cs="仿宋_GB2312" w:eastAsia="仿宋_GB2312"/>
                      <w:sz w:val="15"/>
                      <w:color w:val="000000"/>
                    </w:rPr>
                    <w:t>/h</w:t>
                  </w:r>
                  <w:r>
                    <w:rPr>
                      <w:rFonts w:ascii="仿宋_GB2312" w:hAnsi="仿宋_GB2312" w:cs="仿宋_GB2312" w:eastAsia="仿宋_GB2312"/>
                      <w:sz w:val="15"/>
                      <w:color w:val="000000"/>
                    </w:rPr>
                    <w:t>；噪声≤64dB（A）；管道连接：DN40</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超低温热泵热水机10P</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管道连接：DN40；丝口连接；主机需安装于槽钢基础上</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6</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台</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热泵循环泵</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Q</w:t>
                  </w:r>
                  <w:r>
                    <w:rPr>
                      <w:rFonts w:ascii="仿宋_GB2312" w:hAnsi="仿宋_GB2312" w:cs="仿宋_GB2312" w:eastAsia="仿宋_GB2312"/>
                      <w:sz w:val="15"/>
                      <w:color w:val="000000"/>
                    </w:rPr>
                    <w:t>≥</w:t>
                  </w:r>
                  <w:r>
                    <w:rPr>
                      <w:rFonts w:ascii="仿宋_GB2312" w:hAnsi="仿宋_GB2312" w:cs="仿宋_GB2312" w:eastAsia="仿宋_GB2312"/>
                      <w:sz w:val="15"/>
                      <w:color w:val="000000"/>
                    </w:rPr>
                    <w:t>25m</w:t>
                  </w:r>
                  <w:r>
                    <w:rPr>
                      <w:rFonts w:ascii="仿宋_GB2312" w:hAnsi="仿宋_GB2312" w:cs="仿宋_GB2312" w:eastAsia="仿宋_GB2312"/>
                      <w:sz w:val="15"/>
                      <w:color w:val="000000"/>
                    </w:rPr>
                    <w:t>³</w:t>
                  </w:r>
                  <w:r>
                    <w:rPr>
                      <w:rFonts w:ascii="仿宋_GB2312" w:hAnsi="仿宋_GB2312" w:cs="仿宋_GB2312" w:eastAsia="仿宋_GB2312"/>
                      <w:sz w:val="15"/>
                      <w:color w:val="000000"/>
                    </w:rPr>
                    <w:t>，</w:t>
                  </w:r>
                  <w:r>
                    <w:rPr>
                      <w:rFonts w:ascii="仿宋_GB2312" w:hAnsi="仿宋_GB2312" w:cs="仿宋_GB2312" w:eastAsia="仿宋_GB2312"/>
                      <w:sz w:val="15"/>
                      <w:color w:val="000000"/>
                    </w:rPr>
                    <w:t>H</w:t>
                  </w:r>
                  <w:r>
                    <w:rPr>
                      <w:rFonts w:ascii="仿宋_GB2312" w:hAnsi="仿宋_GB2312" w:cs="仿宋_GB2312" w:eastAsia="仿宋_GB2312"/>
                      <w:sz w:val="15"/>
                      <w:color w:val="000000"/>
                    </w:rPr>
                    <w:t>≥</w:t>
                  </w:r>
                  <w:r>
                    <w:rPr>
                      <w:rFonts w:ascii="仿宋_GB2312" w:hAnsi="仿宋_GB2312" w:cs="仿宋_GB2312" w:eastAsia="仿宋_GB2312"/>
                      <w:sz w:val="15"/>
                      <w:color w:val="000000"/>
                    </w:rPr>
                    <w:t>12m</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循环泵</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管道连接；主要执行热泵与水箱之间循环</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台</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3</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热泵循环泵</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Q</w:t>
                  </w:r>
                  <w:r>
                    <w:rPr>
                      <w:rFonts w:ascii="仿宋_GB2312" w:hAnsi="仿宋_GB2312" w:cs="仿宋_GB2312" w:eastAsia="仿宋_GB2312"/>
                      <w:sz w:val="15"/>
                      <w:color w:val="000000"/>
                    </w:rPr>
                    <w:t>≥</w:t>
                  </w:r>
                  <w:r>
                    <w:rPr>
                      <w:rFonts w:ascii="仿宋_GB2312" w:hAnsi="仿宋_GB2312" w:cs="仿宋_GB2312" w:eastAsia="仿宋_GB2312"/>
                      <w:sz w:val="15"/>
                      <w:color w:val="000000"/>
                    </w:rPr>
                    <w:t>25m</w:t>
                  </w:r>
                  <w:r>
                    <w:rPr>
                      <w:rFonts w:ascii="仿宋_GB2312" w:hAnsi="仿宋_GB2312" w:cs="仿宋_GB2312" w:eastAsia="仿宋_GB2312"/>
                      <w:sz w:val="15"/>
                      <w:color w:val="000000"/>
                    </w:rPr>
                    <w:t>³</w:t>
                  </w:r>
                  <w:r>
                    <w:rPr>
                      <w:rFonts w:ascii="仿宋_GB2312" w:hAnsi="仿宋_GB2312" w:cs="仿宋_GB2312" w:eastAsia="仿宋_GB2312"/>
                      <w:sz w:val="15"/>
                      <w:color w:val="000000"/>
                    </w:rPr>
                    <w:t>，</w:t>
                  </w:r>
                  <w:r>
                    <w:rPr>
                      <w:rFonts w:ascii="仿宋_GB2312" w:hAnsi="仿宋_GB2312" w:cs="仿宋_GB2312" w:eastAsia="仿宋_GB2312"/>
                      <w:sz w:val="15"/>
                      <w:color w:val="000000"/>
                    </w:rPr>
                    <w:t>H</w:t>
                  </w:r>
                  <w:r>
                    <w:rPr>
                      <w:rFonts w:ascii="仿宋_GB2312" w:hAnsi="仿宋_GB2312" w:cs="仿宋_GB2312" w:eastAsia="仿宋_GB2312"/>
                      <w:sz w:val="15"/>
                      <w:color w:val="000000"/>
                    </w:rPr>
                    <w:t>≥</w:t>
                  </w:r>
                  <w:r>
                    <w:rPr>
                      <w:rFonts w:ascii="仿宋_GB2312" w:hAnsi="仿宋_GB2312" w:cs="仿宋_GB2312" w:eastAsia="仿宋_GB2312"/>
                      <w:sz w:val="15"/>
                      <w:color w:val="000000"/>
                    </w:rPr>
                    <w:t>22m</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循环泵</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管道连接；主要执行热泵与水箱之间循环</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台</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4</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热水增压泵</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Q</w:t>
                  </w:r>
                  <w:r>
                    <w:rPr>
                      <w:rFonts w:ascii="仿宋_GB2312" w:hAnsi="仿宋_GB2312" w:cs="仿宋_GB2312" w:eastAsia="仿宋_GB2312"/>
                      <w:sz w:val="15"/>
                      <w:color w:val="000000"/>
                    </w:rPr>
                    <w:t>≥</w:t>
                  </w:r>
                  <w:r>
                    <w:rPr>
                      <w:rFonts w:ascii="仿宋_GB2312" w:hAnsi="仿宋_GB2312" w:cs="仿宋_GB2312" w:eastAsia="仿宋_GB2312"/>
                      <w:sz w:val="15"/>
                      <w:color w:val="000000"/>
                    </w:rPr>
                    <w:t>30m</w:t>
                  </w:r>
                  <w:r>
                    <w:rPr>
                      <w:rFonts w:ascii="仿宋_GB2312" w:hAnsi="仿宋_GB2312" w:cs="仿宋_GB2312" w:eastAsia="仿宋_GB2312"/>
                      <w:sz w:val="15"/>
                      <w:color w:val="000000"/>
                    </w:rPr>
                    <w:t>³</w:t>
                  </w:r>
                  <w:r>
                    <w:rPr>
                      <w:rFonts w:ascii="仿宋_GB2312" w:hAnsi="仿宋_GB2312" w:cs="仿宋_GB2312" w:eastAsia="仿宋_GB2312"/>
                      <w:sz w:val="15"/>
                      <w:color w:val="000000"/>
                    </w:rPr>
                    <w:t>，</w:t>
                  </w:r>
                  <w:r>
                    <w:rPr>
                      <w:rFonts w:ascii="仿宋_GB2312" w:hAnsi="仿宋_GB2312" w:cs="仿宋_GB2312" w:eastAsia="仿宋_GB2312"/>
                      <w:sz w:val="15"/>
                      <w:color w:val="000000"/>
                    </w:rPr>
                    <w:t>H</w:t>
                  </w:r>
                  <w:r>
                    <w:rPr>
                      <w:rFonts w:ascii="仿宋_GB2312" w:hAnsi="仿宋_GB2312" w:cs="仿宋_GB2312" w:eastAsia="仿宋_GB2312"/>
                      <w:sz w:val="15"/>
                      <w:color w:val="000000"/>
                    </w:rPr>
                    <w:t>≥127m</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增压泵</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管道连接；主要执行末端与水箱之间循环</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台</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5</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热水增压泵</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Q</w:t>
                  </w:r>
                  <w:r>
                    <w:rPr>
                      <w:rFonts w:ascii="仿宋_GB2312" w:hAnsi="仿宋_GB2312" w:cs="仿宋_GB2312" w:eastAsia="仿宋_GB2312"/>
                      <w:sz w:val="15"/>
                      <w:color w:val="000000"/>
                    </w:rPr>
                    <w:t>≥</w:t>
                  </w:r>
                  <w:r>
                    <w:rPr>
                      <w:rFonts w:ascii="仿宋_GB2312" w:hAnsi="仿宋_GB2312" w:cs="仿宋_GB2312" w:eastAsia="仿宋_GB2312"/>
                      <w:sz w:val="15"/>
                      <w:color w:val="000000"/>
                    </w:rPr>
                    <w:t>30m</w:t>
                  </w:r>
                  <w:r>
                    <w:rPr>
                      <w:rFonts w:ascii="仿宋_GB2312" w:hAnsi="仿宋_GB2312" w:cs="仿宋_GB2312" w:eastAsia="仿宋_GB2312"/>
                      <w:sz w:val="15"/>
                      <w:color w:val="000000"/>
                    </w:rPr>
                    <w:t>³</w:t>
                  </w:r>
                  <w:r>
                    <w:rPr>
                      <w:rFonts w:ascii="仿宋_GB2312" w:hAnsi="仿宋_GB2312" w:cs="仿宋_GB2312" w:eastAsia="仿宋_GB2312"/>
                      <w:sz w:val="15"/>
                      <w:color w:val="000000"/>
                    </w:rPr>
                    <w:t>，</w:t>
                  </w:r>
                  <w:r>
                    <w:rPr>
                      <w:rFonts w:ascii="仿宋_GB2312" w:hAnsi="仿宋_GB2312" w:cs="仿宋_GB2312" w:eastAsia="仿宋_GB2312"/>
                      <w:sz w:val="15"/>
                      <w:color w:val="000000"/>
                    </w:rPr>
                    <w:t>H</w:t>
                  </w:r>
                  <w:r>
                    <w:rPr>
                      <w:rFonts w:ascii="仿宋_GB2312" w:hAnsi="仿宋_GB2312" w:cs="仿宋_GB2312" w:eastAsia="仿宋_GB2312"/>
                      <w:sz w:val="15"/>
                      <w:color w:val="000000"/>
                    </w:rPr>
                    <w:t>≥53m</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增压泵</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管道连接；主要执行末端与水箱之间循环</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台</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6</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综合楼新作不锈钢保温水箱</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30</w:t>
                  </w:r>
                  <w:r>
                    <w:rPr>
                      <w:rFonts w:ascii="仿宋_GB2312" w:hAnsi="仿宋_GB2312" w:cs="仿宋_GB2312" w:eastAsia="仿宋_GB2312"/>
                      <w:sz w:val="15"/>
                      <w:color w:val="000000"/>
                    </w:rPr>
                    <w:t>吨双层不锈钢保温水箱</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3m*4m*2.5m</w:t>
                  </w:r>
                  <w:r>
                    <w:rPr>
                      <w:rFonts w:ascii="仿宋_GB2312" w:hAnsi="仿宋_GB2312" w:cs="仿宋_GB2312" w:eastAsia="仿宋_GB2312"/>
                      <w:sz w:val="15"/>
                      <w:color w:val="000000"/>
                    </w:rPr>
                    <w:t>；</w:t>
                  </w:r>
                </w:p>
                <w:p>
                  <w:pPr>
                    <w:pStyle w:val="null3"/>
                    <w:jc w:val="center"/>
                  </w:pPr>
                  <w:r>
                    <w:rPr>
                      <w:rFonts w:ascii="仿宋_GB2312" w:hAnsi="仿宋_GB2312" w:cs="仿宋_GB2312" w:eastAsia="仿宋_GB2312"/>
                      <w:sz w:val="15"/>
                      <w:color w:val="000000"/>
                    </w:rPr>
                    <w:t>≥50mm保温</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≥50mm保温；安装于混凝土基础上</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个</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7</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水处理</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水处理量：3t/h</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　</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套</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8</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系统电控柜</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60KW</w:t>
                  </w:r>
                  <w:r>
                    <w:rPr>
                      <w:rFonts w:ascii="仿宋_GB2312" w:hAnsi="仿宋_GB2312" w:cs="仿宋_GB2312" w:eastAsia="仿宋_GB2312"/>
                      <w:sz w:val="15"/>
                      <w:color w:val="000000"/>
                    </w:rPr>
                    <w:t>控制柜；包含继电器、开关、接触器等</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60KW</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落地/挂墙安装</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套</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9</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热水系统控制柜</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弱电控制柜</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落地/挂墙安装</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套</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10</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回水电磁阀</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DN40</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国标</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丝接/法兰连接</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个</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11</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补水电磁阀</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DN25</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国标</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丝接/法兰连接</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2</w:t>
                  </w:r>
                </w:p>
              </w:tc>
              <w:tc>
                <w:tcPr>
                  <w:tcW w:type="dxa" w:w="1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5"/>
                      <w:color w:val="000000"/>
                    </w:rPr>
                    <w:t>个</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商务要求：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、质保期：</w:t>
            </w:r>
            <w:r>
              <w:rPr>
                <w:rFonts w:ascii="仿宋_GB2312" w:hAnsi="仿宋_GB2312" w:cs="仿宋_GB2312" w:eastAsia="仿宋_GB2312"/>
                <w:sz w:val="21"/>
              </w:rPr>
              <w:t>2</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 xml:space="preserve">2、工期：15日历天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、质量要求：达到国家及所在地的法律、法规、规章、规范性文件、行业技术标准，满足磋商文件和响应文件的要求。</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、付款方式：本项目采用固定总价。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）空气源热泵设备部分：①合同签订后甲方向乙方支付总价款的</w:t>
            </w:r>
            <w:r>
              <w:rPr>
                <w:rFonts w:ascii="仿宋_GB2312" w:hAnsi="仿宋_GB2312" w:cs="仿宋_GB2312" w:eastAsia="仿宋_GB2312"/>
                <w:sz w:val="21"/>
              </w:rPr>
              <w:t>50%</w:t>
            </w:r>
            <w:r>
              <w:rPr>
                <w:rFonts w:ascii="仿宋_GB2312" w:hAnsi="仿宋_GB2312" w:cs="仿宋_GB2312" w:eastAsia="仿宋_GB2312"/>
                <w:sz w:val="21"/>
              </w:rPr>
              <w:t>，作为预付款，用于设备及材料的订购；②设备全部运抵现场，并经甲方验收合格后支付总价款的</w:t>
            </w:r>
            <w:r>
              <w:rPr>
                <w:rFonts w:ascii="仿宋_GB2312" w:hAnsi="仿宋_GB2312" w:cs="仿宋_GB2312" w:eastAsia="仿宋_GB2312"/>
                <w:sz w:val="21"/>
              </w:rPr>
              <w:t>50%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）以转账的形式支付到合同约定的施工单位。</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、违约责任：</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 xml:space="preserve">.1 </w:t>
            </w:r>
            <w:r>
              <w:rPr>
                <w:rFonts w:ascii="仿宋_GB2312" w:hAnsi="仿宋_GB2312" w:cs="仿宋_GB2312" w:eastAsia="仿宋_GB2312"/>
                <w:sz w:val="21"/>
              </w:rPr>
              <w:t>按《中华人民共和国民法典》等相关法律法规中的相关条款执行。</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 xml:space="preserve">.2 </w:t>
            </w:r>
            <w:r>
              <w:rPr>
                <w:rFonts w:ascii="仿宋_GB2312" w:hAnsi="仿宋_GB2312" w:cs="仿宋_GB2312" w:eastAsia="仿宋_GB2312"/>
                <w:sz w:val="21"/>
              </w:rPr>
              <w:t>未按合同要求达到国家标准要求，由成交供应商负责整改，并承担相关费用，由此引起一切经济损失及政治影响由成交供应商承担。</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、验收：</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.1</w:t>
            </w:r>
            <w:r>
              <w:rPr>
                <w:rFonts w:ascii="仿宋_GB2312" w:hAnsi="仿宋_GB2312" w:cs="仿宋_GB2312" w:eastAsia="仿宋_GB2312"/>
                <w:sz w:val="21"/>
              </w:rPr>
              <w:t>验收要求：国家标准、行业标准及采购人要求。</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.2</w:t>
            </w:r>
            <w:r>
              <w:rPr>
                <w:rFonts w:ascii="仿宋_GB2312" w:hAnsi="仿宋_GB2312" w:cs="仿宋_GB2312" w:eastAsia="仿宋_GB2312"/>
                <w:sz w:val="21"/>
              </w:rPr>
              <w:t>验收依据：经济合同、国家相关的标准和规范。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）符合中华人民共和国国家安全质量标准或行业标准。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）符合采购文件和成交供应商响应文件的要求。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）货物运抵现场后，采购人将对产品质量、规格等进行检验。如发现产品与磋商文件、响应文件、合同不符，采购人有权根据检验结果要求成交供应商立即更换或提出索赔要求。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）成交供应商应将货物的用户手册、保修手册、有关单证资料及配备件、随机工具等交付给采购人，使用操作及安全须知等重要资料应附有中文说明。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采购人组成验收小组按国家有关规定、规范或根据成交供应商所提交的验收方案和实施办法进行验收，必要时邀请相关的专业人员或机构参与验收。因货物的质量问题发生争议时，由本地质量技术监督部门鉴定。货物符合质量技术标准的，鉴定费由采购人承担，否则鉴定费由成交供应商承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）成交供应商完成全部合同约定的服务内容且采购人收到验收申请后</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日历日内进行验收。</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国家标准、行业标准及采购人要求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本项目包含充电桩电源工程、空气源热泵热水制备系统及空气源热泵热水器，统一完成工期为15日历天，其它技术服务要求详见采购需求。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3.3.1合格供应商少于3家的处理 3.3.1.1评审过程中，若出现合格供应商只有2家时，符合《政府采购竞争性磋商采购方式管理暂行办法》第3条第4项情形的，或者本项目为政府购买服务指导性目录中的，可以继续进行；只有1家时，采购人应依法重新组织采购活动。 3.3.1.2评审过程中，除符合第3.3.1.1条条款规定情形外，若出现合格供应商少于3家时，采购人应依法重新组织采购活动。 3.3.2本项目需要落实的政府采购政策：（1）《国务院办公厅关于建立政府强制采购节能产品制度的通知》（国办发〔2007〕51号）；（2）《财政部 司法部 关于政府采购支持监狱企业发展有关问题的通知》（财库〔2014〕68号）；（3）《三部门联合发布关于促进残疾人就业政 府采购政策的通知》（财库〔2017〕141号）；（4）《财政部 发展改革委 生态环境部 市场监管总局关于调整优化节能产 品、环境标志产品政府采购执行机制的通知》（财库〔2019〕9号）；（5）《关于印发节能产品政府采购品目清单的通知》（财库〔2019〕19号）；（6）《关于印发环境标志产品政府采购品目清单的通知》（财库〔2019〕18号）；（7）《关于 运用政府采购政策支持乡村产业振兴的通知》（财库〔2021〕19号）；（8）《政府采购促进中小企业发展管理办法》（财 库〔2020〕46号）；（9）《关于进一步加大政府采购支持中小企业力度的通知》（财库〔2022〕19号；（10）《陕西省 中小企业政府采购信用融资办法》（陕财办采〔2018〕23号）；（11）《陕西省财政厅关于加快推进我省中小企业政府采购 信用融资工作的通知》（陕财办采〔2020〕15号）；（12）《关于进一步加强政府绿色采购有关问题的通知》陕财办采 〔2021〕29号；（13）《陕西省财政厅、中国人民银行西安分行关于深入推进政府采购信用融资业务的通知》（陕财办采 〔2023〕5号）；（14）其他需要落实的政府采购政策，如有最新颁布的政府采购政策，按最新的文件执行。 3.3.3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叁套，纸质响应文件应通过专用制作软件直接打印，确保与项目电子化交易系统中的电子响应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三种形式的资料提供任何一种即可）①提供2024年财务审计报告（成立时间至磋商时间不足一年的可提供成立后任意时段的资产负债表）；②提供基本存款账户信息及磋商日期前三个月内其基本存款账户开户银行出具的资信证明；③财政部门认可的政府采购专业担保机构出具的投标担保函；（依法不需要提供财务状况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提供响应文件提交截止时间一年内至少一个月的纳税证明或完税证明；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提供响应文件提交截止时间一年内至少一个月的社会保障资金缴存单据或社保机构开具的社会保险参保缴费情况证明；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提供直接控股和管理关系清单。若与其他供应商存在单位负责人为同一人或者存在直接控股、管理关系的，则按无效响应文件处理；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设备、技术能力书面声明</w:t>
            </w:r>
          </w:p>
        </w:tc>
        <w:tc>
          <w:tcPr>
            <w:tcW w:type="dxa" w:w="3322"/>
          </w:tcPr>
          <w:p>
            <w:pPr>
              <w:pStyle w:val="null3"/>
            </w:pPr>
            <w:r>
              <w:rPr>
                <w:rFonts w:ascii="仿宋_GB2312" w:hAnsi="仿宋_GB2312" w:cs="仿宋_GB2312" w:eastAsia="仿宋_GB2312"/>
              </w:rPr>
              <w:t>提供具有履行合同所必需的设备和专业技术能力书面声明函；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具有建设行政主管部门颁发的建筑机电安装工程专业承包三级及以上资质，且具备有效的安全生产许可证；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拟派项目经理资质</w:t>
            </w:r>
          </w:p>
        </w:tc>
        <w:tc>
          <w:tcPr>
            <w:tcW w:type="dxa" w:w="3322"/>
          </w:tcPr>
          <w:p>
            <w:pPr>
              <w:pStyle w:val="null3"/>
            </w:pPr>
            <w:r>
              <w:rPr>
                <w:rFonts w:ascii="仿宋_GB2312" w:hAnsi="仿宋_GB2312" w:cs="仿宋_GB2312" w:eastAsia="仿宋_GB2312"/>
              </w:rPr>
              <w:t>拟派项目经理具备建设行政主管部门颁发的机电工程专业二级或以上注册建造师执业资格，具备有效的安全生产考核合格证书（B证），在本单位注册，无在建项目；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备案截图</w:t>
            </w:r>
          </w:p>
        </w:tc>
        <w:tc>
          <w:tcPr>
            <w:tcW w:type="dxa" w:w="3322"/>
          </w:tcPr>
          <w:p>
            <w:pPr>
              <w:pStyle w:val="null3"/>
            </w:pPr>
            <w:r>
              <w:rPr>
                <w:rFonts w:ascii="仿宋_GB2312" w:hAnsi="仿宋_GB2312" w:cs="仿宋_GB2312" w:eastAsia="仿宋_GB2312"/>
              </w:rPr>
              <w:t>供应商及拟派项目经理的基本信息在“陕西省建筑市场监管与诚信信息发布平台”可查询，外省进陕施工企业需提供陕西省住房和城乡建设厅官网企业库外省进陕施工企业及项目经理基本信息(提供网页面截图)</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法定代表人身份证明书/授权委托书</w:t>
            </w:r>
          </w:p>
        </w:tc>
        <w:tc>
          <w:tcPr>
            <w:tcW w:type="dxa" w:w="3322"/>
          </w:tcPr>
          <w:p>
            <w:pPr>
              <w:pStyle w:val="null3"/>
            </w:pPr>
            <w:r>
              <w:rPr>
                <w:rFonts w:ascii="仿宋_GB2312" w:hAnsi="仿宋_GB2312" w:cs="仿宋_GB2312" w:eastAsia="仿宋_GB2312"/>
              </w:rPr>
              <w:t>法定代表人（负责人）参加磋商的，须出具法定代表人（负责人）身份证明书及身份证正反两面扫描件或护照资料页扫描件；法定代表人（负责人）授权委托代理人参加磋商的，须出具法定代表人（负责人）授权委托书及委托代理人身份证正反两面扫描件或护照资料页扫描件。</w:t>
            </w:r>
          </w:p>
        </w:tc>
        <w:tc>
          <w:tcPr>
            <w:tcW w:type="dxa" w:w="1661"/>
          </w:tcPr>
          <w:p>
            <w:pPr>
              <w:pStyle w:val="null3"/>
            </w:pPr>
            <w:r>
              <w:rPr>
                <w:rFonts w:ascii="仿宋_GB2312" w:hAnsi="仿宋_GB2312" w:cs="仿宋_GB2312" w:eastAsia="仿宋_GB2312"/>
              </w:rPr>
              <w:t>法定代表人身份证明书及授权委托书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（1）响应文件封面 （2）响应函 （3）法定代表人（负责人）委托授权书</w:t>
            </w:r>
          </w:p>
        </w:tc>
        <w:tc>
          <w:tcPr>
            <w:tcW w:type="dxa" w:w="1661"/>
          </w:tcPr>
          <w:p>
            <w:pPr>
              <w:pStyle w:val="null3"/>
            </w:pPr>
            <w:r>
              <w:rPr>
                <w:rFonts w:ascii="仿宋_GB2312" w:hAnsi="仿宋_GB2312" w:cs="仿宋_GB2312" w:eastAsia="仿宋_GB2312"/>
              </w:rPr>
              <w:t>响应文件封面 法定代表人身份证明书及授权委托书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响应文件组成</w:t>
            </w:r>
          </w:p>
        </w:tc>
        <w:tc>
          <w:tcPr>
            <w:tcW w:type="dxa" w:w="3322"/>
          </w:tcPr>
          <w:p>
            <w:pPr>
              <w:pStyle w:val="null3"/>
            </w:pPr>
            <w:r>
              <w:rPr>
                <w:rFonts w:ascii="仿宋_GB2312" w:hAnsi="仿宋_GB2312" w:cs="仿宋_GB2312" w:eastAsia="仿宋_GB2312"/>
              </w:rPr>
              <w:t>响应文件完整且编排有序，响应内容基本完整，无重大错漏；</w:t>
            </w:r>
          </w:p>
        </w:tc>
        <w:tc>
          <w:tcPr>
            <w:tcW w:type="dxa" w:w="1661"/>
          </w:tcPr>
          <w:p>
            <w:pPr>
              <w:pStyle w:val="null3"/>
            </w:pPr>
            <w:r>
              <w:rPr>
                <w:rFonts w:ascii="仿宋_GB2312" w:hAnsi="仿宋_GB2312" w:cs="仿宋_GB2312" w:eastAsia="仿宋_GB2312"/>
              </w:rPr>
              <w:t>法定代表人身份证明书及授权委托书 施工组织设计 其他商务要求应答表 分项报价表 中小企业声明函 供应商应提交的相关资格证明材料 响应文件封面 技术服务合同条款应答表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（1）货币单位符合磋商文件要求（2）未超出采购预算或最高限价</w:t>
            </w:r>
          </w:p>
        </w:tc>
        <w:tc>
          <w:tcPr>
            <w:tcW w:type="dxa" w:w="1661"/>
          </w:tcPr>
          <w:p>
            <w:pPr>
              <w:pStyle w:val="null3"/>
            </w:pPr>
            <w:r>
              <w:rPr>
                <w:rFonts w:ascii="仿宋_GB2312" w:hAnsi="仿宋_GB2312" w:cs="仿宋_GB2312" w:eastAsia="仿宋_GB2312"/>
              </w:rPr>
              <w:t>分项报价表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合同及其它条款</w:t>
            </w:r>
          </w:p>
        </w:tc>
        <w:tc>
          <w:tcPr>
            <w:tcW w:type="dxa" w:w="3322"/>
          </w:tcPr>
          <w:p>
            <w:pPr>
              <w:pStyle w:val="null3"/>
            </w:pPr>
            <w:r>
              <w:rPr>
                <w:rFonts w:ascii="仿宋_GB2312" w:hAnsi="仿宋_GB2312" w:cs="仿宋_GB2312" w:eastAsia="仿宋_GB2312"/>
              </w:rPr>
              <w:t>完全理解并响应磋商文件合同及其它条款的要求，且未含有采购人不能接受的附加条件的。</w:t>
            </w:r>
          </w:p>
        </w:tc>
        <w:tc>
          <w:tcPr>
            <w:tcW w:type="dxa" w:w="1661"/>
          </w:tcPr>
          <w:p>
            <w:pPr>
              <w:pStyle w:val="null3"/>
            </w:pPr>
            <w:r>
              <w:rPr>
                <w:rFonts w:ascii="仿宋_GB2312" w:hAnsi="仿宋_GB2312" w:cs="仿宋_GB2312" w:eastAsia="仿宋_GB2312"/>
              </w:rPr>
              <w:t>技术服务合同条款应答表 其他商务要求应答表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技术服务合同条款应答表 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设备配置方案</w:t>
            </w:r>
          </w:p>
        </w:tc>
        <w:tc>
          <w:tcPr>
            <w:tcW w:type="dxa" w:w="2492"/>
          </w:tcPr>
          <w:p>
            <w:pPr>
              <w:pStyle w:val="null3"/>
            </w:pPr>
            <w:r>
              <w:rPr>
                <w:rFonts w:ascii="仿宋_GB2312" w:hAnsi="仿宋_GB2312" w:cs="仿宋_GB2312" w:eastAsia="仿宋_GB2312"/>
              </w:rPr>
              <w:t>根据供应商针对本项目提供的整体配置方案进行评审，包括①热泵机组的配置方案；②保温水箱配置方案；③循环泵及增压泵的配置方案。（提供上述三项设备的相关检测内容的证明材料，其中某项设备未证明材料的，某项不得分）上述内容完全满足项目要求的得9.0分，每缺少一项内容的扣3.0分，每有一项内容存在缺陷或不足扣1.5分。 缺陷或不足是指：非专门针对本项目或不适用项目特性的情形，内容不完整或虽有内容但描述简单或缺少关键节点、套用其他项目方案、语句不通顺或有歧义、方案内容交叉混乱、方案中内容前后不一致、涉及的规范及标准错误、地点区域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1.供应商针对本项目提供的施工方案与技术措施，包括①工程概况；②施工总体规划(难点分析、应急措施)；③施工准备及施工部署(技术准备、施工现场准备、物资准备、劳动力准备等)；④施工方案与技术措施等内容进行评审：上述内容完全满足项目要求的得12.0分，每缺少一项内容的扣3.0分，每有一项内容存在缺陷或不足扣1.5分。 缺陷或不足是指：非专门针对本项目或不适用项目特性的情形，内容不完整或虽有内容但描述简单或缺少关键节点、套用其他项目方案、语句不通顺或有歧义、方案内容交叉混乱、方案中内容前后不一致、涉及的规范及标准错误、地点区域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根据供应商针对本项目提供的工程进度计划与措施，包括①详细的项目进度计划(含计划开、竣工日期和施工进度网络图)、②完整的项目工期保证措施、③劳动力配备及管理措施、④主要人、料、机配置使用计划及管理措施等内容进行综合评审：上述内容完全满足项目要求的得8.0分，每缺少一项内容的扣2.0分，每有一项内容存在缺陷或不足扣1.0分，缺陷或不足是指：非专门针对本项目或不适用项目特性的情形，内容不完整或虽有内容但描述简单或缺少关键节点、套用其他项目方案、语句不通顺或有歧义、方案内容交叉混乱、方案中内容前后不一致、涉及的规范及标准错误、地点区域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质量管理体系措施</w:t>
            </w:r>
          </w:p>
        </w:tc>
        <w:tc>
          <w:tcPr>
            <w:tcW w:type="dxa" w:w="2492"/>
          </w:tcPr>
          <w:p>
            <w:pPr>
              <w:pStyle w:val="null3"/>
            </w:pPr>
            <w:r>
              <w:rPr>
                <w:rFonts w:ascii="仿宋_GB2312" w:hAnsi="仿宋_GB2312" w:cs="仿宋_GB2312" w:eastAsia="仿宋_GB2312"/>
              </w:rPr>
              <w:t>根据供应商针对本项目提供的质量管理体系及保证措施，包括①制定完整的质量保证体系、②确保项目质量的技术组织措施、③针对质量目标及质量控制的保证措施、④制定质量管理制度及检查制度等内容进行评审：上述内容完全满足项目要求的得8.0分，每缺少一项内容的扣2.0分，每有一项内容存在缺陷或不足扣1.0分。缺陷或不足是指：非专门针对本项目或不适用项目特性的情形，内容不完整或虽有内容但描述简单或缺少关键节点、套用其他项目方案、语句不通顺或有歧义、方案内容交叉混乱、方案中内容前后不一致、涉及的规范及标准错误、地点区域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根据供应商针对本项目提供的安全防护及文明施工管理体系与措施，包括①制定完整的文明施工安全保障体系、②制定完整的文明施工措施、③安全教育及培训计划、④安全保证措施及安全应急预案等内容进行评审：上述内容完全满足项目要求的得8.0分，每缺少一项内容的扣2.0分，每有一项内容存在缺陷或不足扣1.0分，缺陷或不足是指：非专门针对本项目或不适用项目特性的情形，内容不完整或虽有内容但描述简单或缺少关键节点、套用其他项目方案、语句不通顺或有歧义、方案内容交叉混乱、方案中内容前后不一致、涉及的规范及标准错误、地点区域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根据供应商针对本项目提供的环境保护管理体系与措施，包括①制定完整的环境保护管理体系、②制定完整的环境卫生保护措施、③污染物处理及排放措施、④现场管理人员环境保护职责及操作流程要求内容进行评审：上述内容完全满足项目要求的得8.0分，每缺少一项内容的扣2.0分，每有一项内容存在缺陷或不足扣1.0分。缺陷或不足是指：非专门针对本项目或不适用项目特性的情形，内容不完整或虽有内容但描述简单或缺少关键节点、套用其他项目方案、语句不通顺或有歧义、方案内容交叉混乱、方案中内容前后不一致、涉及的规范及标准错误、地点区域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项目管理机构人员岗位完整，专业种类齐全，搭配合理，职位分明、有相应的技术能力。1.项目经理及项目部人员配备齐全、专业配套、科学可行，满足项目实际要求得3分； 2.项目经理及项目部人员配备较合理、专业较为配套、可行性一般，基本满足项目实际要求得2分； 3.项目经理及项目部人员配备不够齐全得1分； 4.未提供得0分。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提供针对本项目的售后服务方案，方案内容应包括①维保管理制度（含后续保障措施和计划；后续服务人员组成）；②售后服务保障体系（范围）及措施；③售后应急方案（含定期巡检服务）。上述内容完全满足项目要求的得6.0分，每缺少一项内容的扣2.0分，每有一项内容存在缺陷或不足扣1.0分，缺陷或不足是指：非专门针对本项目或不适用项目特性的情形，内容不完整或虽有内容但描述简单或缺少关键节点、套用其他项目方案、语句不通顺或有歧义、方案内容交叉混乱、方案中内容前后不一致、涉及的规范及标准错误、地点区域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自2022年1月1日（含1日）以来具有一个已完成类似项目业绩的得2分，在此基础上每增加1个加2分，最多得6.0分。注：提供中标通知书或施工合同复印件；业绩认定时间以施工合同签订时间为准；类似项目指机电安装工程类项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提供的投标产品中每有一项为节能产品（非强制类）经国家认证的得0.5分，每有一项为环境标志产品经国家认证的得0.5分，供应商投标产品中每有一项产品同时为节能产品和环境标志产品得1分，最多得2分。（以经国家确定的认证机构出具的、处于有效期内的节能产品、环境标志产品认证证书为准。出具的、处于有效期之内的节能产品、环境标志产品认证证书复印件或在节能产品、环境标志产品认证结果信息发布平台查询的结果截图或打印件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即满足磋商文件要求且最后报价最低的供应商的价格为磋商基准价，其价格分为满分。其他供应商的价格分统一按照下列公式计算：磋商报价得分=（磋商基准价/最后磋商报价）×30%×100。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详见附件：法定代表人身份证明书及授权委托书</w:t>
      </w:r>
    </w:p>
    <w:p>
      <w:pPr>
        <w:pStyle w:val="null3"/>
        <w:ind w:firstLine="960"/>
      </w:pPr>
      <w:r>
        <w:rPr>
          <w:rFonts w:ascii="仿宋_GB2312" w:hAnsi="仿宋_GB2312" w:cs="仿宋_GB2312" w:eastAsia="仿宋_GB2312"/>
        </w:rPr>
        <w:t>详见附件：技术服务合同条款应答表</w:t>
      </w:r>
    </w:p>
    <w:p>
      <w:pPr>
        <w:pStyle w:val="null3"/>
        <w:ind w:firstLine="960"/>
      </w:pPr>
      <w:r>
        <w:rPr>
          <w:rFonts w:ascii="仿宋_GB2312" w:hAnsi="仿宋_GB2312" w:cs="仿宋_GB2312" w:eastAsia="仿宋_GB2312"/>
        </w:rPr>
        <w:t>详见附件：其他商务要求应答表</w:t>
      </w:r>
    </w:p>
    <w:p>
      <w:pPr>
        <w:pStyle w:val="null3"/>
        <w:ind w:firstLine="960"/>
      </w:pPr>
      <w:r>
        <w:rPr>
          <w:rFonts w:ascii="仿宋_GB2312" w:hAnsi="仿宋_GB2312" w:cs="仿宋_GB2312" w:eastAsia="仿宋_GB2312"/>
        </w:rPr>
        <w:t>详见附件：施工组织设计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