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版本号：SZ1252-GP-SC-174H20251125001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曲江院区视觉识别系统环境文化制作安装项目(二次)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SZ1252-GP-SC-174H</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曲江院区视觉识别系统环境文化制作安装项目(二次)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SZ1252-GP-SC-174H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曲江院区视觉识别系统环境文化制作安装项目(二次)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国家卫健委、省卫健委关于儿童友好医院建设相关要求，以及医院关于两个友好医院专题会议精神，拟进一步提升医院环境文化氛围，改善儿童就医空间及体验，包括升级儿童住院病区休息大厅，增加IP形象、互动装置，提升儿保、儿内科的门诊区域环境文化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采购包1（曲江院区视觉识别系统环境文化制作安装项目）：属于专门面向小微企业采购。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至少包括资产负债表、利润表、现金流量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税收缴纳证明：提供2024年11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法定代表人授权书及被授权人身份证复印件。（法定代表人直接投标须提交法定代表人身份证明书及身份证复印件，被授权人参与投标的需提供投标人为其缴纳的2024年11月至今任意一个月的社保证明材料。）</w:t>
      </w:r>
    </w:p>
    <w:p>
      <w:pPr>
        <w:pStyle w:val="null3"/>
      </w:pPr>
      <w:r>
        <w:rPr>
          <w:rFonts w:ascii="仿宋_GB2312" w:hAnsi="仿宋_GB2312" w:cs="仿宋_GB2312" w:eastAsia="仿宋_GB2312"/>
        </w:rPr>
        <w:t>6、书面声明：参加本次政府采购活动前三年内在经营活动中没有重大违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7、控股管理关系：提供直接控股和管理关系清单。若与其他投标人存在单位负责人为同一人或者存在直接控股、管理关系的，则投标无效。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9、是否接受联合体投标：本项目不接受联合体参与。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孙东 李楚瑶 朱颖华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17791415127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中标金额计算招标代理服务费，招标代理服务费由中标人支付，按照国家计委颁布的《招标代理服务收费管理暂行办法》(计价格[2002]1980号)文件规定的标准下浮20%计取，招标代理服务收费按差额定率累进法计算。 2、本项目中标服务费按货物计取。 3、代理服务费账户：开户名称：陕西省招标有限责任公司 开户银行：招商银行西安朝阳门支行 账号：1299 0424 2010 801 （注：中标供应商转账时请从对公账户转出，备注“代理服务费”及“项目编号后四位”信息）</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根据招标文件要求、投标文件响应及合同约定执行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卫健委、省卫健委关于儿童友好医院建设相关要求，以及医院关于两个友好医院专题会议精神，拟进一步提升医院环境文化氛围，改善儿童就医空间及体验，包括升级儿童住院病区休息大厅，增加IP形象、互动装置，提升儿保、儿内科的门诊区域环境文化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曲江院区视觉识别系统环境文化制作安装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标的名称：曲江院区视觉识别系统环境文化制作安装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一、视觉识别系统制作安装项目内容</w:t>
            </w:r>
          </w:p>
          <w:p>
            <w:pPr>
              <w:pStyle w:val="null3"/>
            </w:pPr>
            <w:r>
              <w:rPr>
                <w:rFonts w:ascii="仿宋_GB2312" w:hAnsi="仿宋_GB2312" w:cs="仿宋_GB2312" w:eastAsia="仿宋_GB2312"/>
              </w:rPr>
              <w:t>内容及要求详见附件1（西北妇女儿童医院曲江院区视觉识别系统环境文化制作安装项目内容清单）及附件2（西北妇女儿童医院环境文化提升方案）</w:t>
            </w:r>
          </w:p>
          <w:p>
            <w:pPr>
              <w:pStyle w:val="null3"/>
            </w:pPr>
            <w:r>
              <w:rPr>
                <w:rFonts w:ascii="仿宋_GB2312" w:hAnsi="仿宋_GB2312" w:cs="仿宋_GB2312" w:eastAsia="仿宋_GB2312"/>
              </w:rPr>
              <w:t>二、质量保证要求</w:t>
            </w:r>
          </w:p>
          <w:p>
            <w:pPr>
              <w:pStyle w:val="null3"/>
            </w:pPr>
            <w:r>
              <w:rPr>
                <w:rFonts w:ascii="仿宋_GB2312" w:hAnsi="仿宋_GB2312" w:cs="仿宋_GB2312" w:eastAsia="仿宋_GB2312"/>
              </w:rPr>
              <w:t>1、供货前投标人需向采购人提供所使用的原材料清单，并在到货24小时内通知采购人检验核实（具体方式在合同中明确）。</w:t>
            </w:r>
          </w:p>
          <w:p>
            <w:pPr>
              <w:pStyle w:val="null3"/>
            </w:pPr>
            <w:r>
              <w:rPr>
                <w:rFonts w:ascii="仿宋_GB2312" w:hAnsi="仿宋_GB2312" w:cs="仿宋_GB2312" w:eastAsia="仿宋_GB2312"/>
              </w:rPr>
              <w:t>2、投标人应当保证所供货物的来源渠道正常，产品是全新的、未使用过的、且完全符合招标文件要求的质量、规格、技术指标等要求，并在保修期内、外应对由于产品设计、工艺或材料的缺陷而产生的质量问题负责。</w:t>
            </w:r>
          </w:p>
          <w:p>
            <w:pPr>
              <w:pStyle w:val="null3"/>
            </w:pPr>
            <w:r>
              <w:rPr>
                <w:rFonts w:ascii="仿宋_GB2312" w:hAnsi="仿宋_GB2312" w:cs="仿宋_GB2312" w:eastAsia="仿宋_GB2312"/>
              </w:rPr>
              <w:t>3、在保修期内，如果发现货物的质量、规格、技术指标等存在与投标文件、招标文件、合同中任何一项不符，采购人应在最短时间内，以书面形式向成交供应商提出索赔。</w:t>
            </w:r>
          </w:p>
          <w:p>
            <w:pPr>
              <w:pStyle w:val="null3"/>
            </w:pPr>
            <w:r>
              <w:rPr>
                <w:rFonts w:ascii="仿宋_GB2312" w:hAnsi="仿宋_GB2312" w:cs="仿宋_GB2312" w:eastAsia="仿宋_GB2312"/>
              </w:rPr>
              <w:t>4、投标人应当明确售后服务公约，承诺无需二次付费的维修服务条件。</w:t>
            </w:r>
          </w:p>
          <w:p>
            <w:pPr>
              <w:pStyle w:val="null3"/>
            </w:pPr>
            <w:r>
              <w:rPr>
                <w:rFonts w:ascii="仿宋_GB2312" w:hAnsi="仿宋_GB2312" w:cs="仿宋_GB2312" w:eastAsia="仿宋_GB2312"/>
              </w:rPr>
              <w:t>三、样品</w:t>
            </w:r>
          </w:p>
          <w:p>
            <w:pPr>
              <w:pStyle w:val="null3"/>
            </w:pPr>
            <w:r>
              <w:rPr>
                <w:rFonts w:ascii="仿宋_GB2312" w:hAnsi="仿宋_GB2312" w:cs="仿宋_GB2312" w:eastAsia="仿宋_GB2312"/>
              </w:rPr>
              <w:t>1、投标现场需提供样品：可提供相应亚克力、品牌贴膜、户外雕塑、互动装置等样品，可等比例缩小，数量不限，详见附件3（样品文件）。</w:t>
            </w:r>
          </w:p>
          <w:p>
            <w:pPr>
              <w:pStyle w:val="null3"/>
            </w:pPr>
            <w:r>
              <w:rPr>
                <w:rFonts w:ascii="仿宋_GB2312" w:hAnsi="仿宋_GB2312" w:cs="仿宋_GB2312" w:eastAsia="仿宋_GB2312"/>
              </w:rPr>
              <w:t>2、样品的递交</w:t>
            </w:r>
          </w:p>
          <w:p>
            <w:pPr>
              <w:pStyle w:val="null3"/>
            </w:pPr>
            <w:r>
              <w:rPr>
                <w:rFonts w:ascii="仿宋_GB2312" w:hAnsi="仿宋_GB2312" w:cs="仿宋_GB2312" w:eastAsia="仿宋_GB2312"/>
              </w:rPr>
              <w:t>（1）递交样品截止时间：同提交投标文件截止时间，随投标文件一起递交。</w:t>
            </w:r>
          </w:p>
          <w:p>
            <w:pPr>
              <w:pStyle w:val="null3"/>
            </w:pPr>
            <w:r>
              <w:rPr>
                <w:rFonts w:ascii="仿宋_GB2312" w:hAnsi="仿宋_GB2312" w:cs="仿宋_GB2312" w:eastAsia="仿宋_GB2312"/>
              </w:rPr>
              <w:t>（2）样品递交地点：西安市和平路108号佳腾大厦七楼。</w:t>
            </w:r>
          </w:p>
          <w:p>
            <w:pPr>
              <w:pStyle w:val="null3"/>
            </w:pPr>
            <w:r>
              <w:rPr>
                <w:rFonts w:ascii="仿宋_GB2312" w:hAnsi="仿宋_GB2312" w:cs="仿宋_GB2312" w:eastAsia="仿宋_GB2312"/>
              </w:rPr>
              <w:t>（3）采购代理机构对递交的样品进行检查，统一编号并封样留存，作为产品检验的依据，如质量下降，将依法追究中标人责任。</w:t>
            </w:r>
          </w:p>
          <w:p>
            <w:pPr>
              <w:pStyle w:val="null3"/>
            </w:pPr>
            <w:r>
              <w:rPr>
                <w:rFonts w:ascii="仿宋_GB2312" w:hAnsi="仿宋_GB2312" w:cs="仿宋_GB2312" w:eastAsia="仿宋_GB2312"/>
              </w:rPr>
              <w:t>（4）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如中标人未在规定时间内领取样品，则样品由采购人自行处理，后期不得有任何异议。</w:t>
            </w:r>
          </w:p>
          <w:p>
            <w:pPr>
              <w:pStyle w:val="null3"/>
              <w:jc w:val="both"/>
            </w:pPr>
            <w:r>
              <w:rPr>
                <w:rFonts w:ascii="仿宋_GB2312" w:hAnsi="仿宋_GB2312" w:cs="仿宋_GB2312" w:eastAsia="仿宋_GB2312"/>
                <w:sz w:val="21"/>
              </w:rPr>
              <w:t>（5）各投标人自行承担样品搬运过程中发生的损失。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接采购人通知后60个日历日内，完成制作安装。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材料设备进场安装完成且经甲方验收合格后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经审计且成交供应商应按审定金额提供正规发票，且经采购人完成资产出入库相关手续后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由采购人党委办公室组织人员对项目质量进行审核验收。验收标准参照采购文件质量要求及有关规定。供应商需保证项目顺利进行，定期反馈项目进度。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一、质量保修范围：采购标的所有内容。 二、保修期：验收合格后≥3年，保修期内免费维修维护。保修期外只收取材料成本费。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双方在履行合同过程中，若发生争议，可以协商解决。如协商未果，双方向采购人所在地人民法院提起诉讼。中标人如果没有按照本合同约定履行合同，采购人有权终止合同。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2.纸质投标文件正、副本分别胶装，标明投标人名称密封递交，线下递交截止时间同在线递交投标电子文件截止时间一致，线下递交地址：西安市和平路108号佳腾大厦七楼。3.若线上电子投标文件与纸质投标文件不一致的，以线上电子投标文件为准；若正本和副本不符，以正本为准。4.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5.因电子化格式有限，投标人还需对以下支付方式响应：银行转账，分期付款。签订合同后，达到付款条件起30日内，支付合同总金额的40.00%。材料设备进场安装完成且经采购人验收合格后，达到付款条件起30日内，支付合同总金额的40.00%。经审计且成交供应商按审定金额提供正规发票，且经采购人完成资产出入库相关手续后，达到付款条件起30日内，支付尾款。6.标的清单具体内容根据法律规定公布主要标的的名称、规格型号、数量、单价。本项目主要标的：同核心产品(户外环境（入口位置正门雕塑）)。7.本项目采购的货物如是投标人按本项目要求自行加工制造的定制产品（成品），在中小企业声明函中的制造商就是投标人；如投标人按本项目要求从其他供应商处购买的定制产品（成品），在中小企业声明函中的制造商就是其购买的定制产品（成品）的制造商。以上情况都无需材料生产商单独针对各材料在中小企业声明函中以制造商身份出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资产负债表、利润表、现金流量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法定代表人授权书及被授权人身份证复印件。（法定代表人直接投标须提交法定代表人身份证明书及身份证复印件，被授权人参与投标的需提供投标人为其缴纳的2024年11月至今任意一个月的社保证明材料。）</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投标人应提供的资格证明文件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投标人应提供的资格证明文件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报价超过招标文件中规定的最高限价和单价限价的</w:t>
            </w:r>
          </w:p>
        </w:tc>
        <w:tc>
          <w:tcPr>
            <w:tcW w:type="dxa" w:w="1661"/>
          </w:tcPr>
          <w:p>
            <w:pPr>
              <w:pStyle w:val="null3"/>
            </w:pPr>
            <w:r>
              <w:rPr>
                <w:rFonts w:ascii="仿宋_GB2312" w:hAnsi="仿宋_GB2312" w:cs="仿宋_GB2312" w:eastAsia="仿宋_GB2312"/>
              </w:rPr>
              <w:t>投标函 承诺书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承诺书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中小企业声明函 承诺书 投标文件封面 投标人应提供的资格证明文件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满足本招标文件中的实质性条款（交货时间、交货地点、质量保修范围和保修期、采购资金的支付方式及约定）要求的</w:t>
            </w:r>
          </w:p>
        </w:tc>
        <w:tc>
          <w:tcPr>
            <w:tcW w:type="dxa" w:w="1661"/>
          </w:tcPr>
          <w:p>
            <w:pPr>
              <w:pStyle w:val="null3"/>
            </w:pPr>
            <w:r>
              <w:rPr>
                <w:rFonts w:ascii="仿宋_GB2312" w:hAnsi="仿宋_GB2312" w:cs="仿宋_GB2312" w:eastAsia="仿宋_GB2312"/>
              </w:rPr>
              <w:t>投标函 商务应答表 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承诺书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（一）不同投标人的投标文件由同一单位或者个人编制； （二）不同投标人委托同一单位或者个人办理投标事宜； （三）不同投标人的投标文件载明的项目管理成员或者联系人员为同一人； （四）不同投标人的投标文件异常一致或者投标报价呈规律性差异； （五）不同投标人的投标文件相互混装； （六）不同投标人的投标保证金从同一单位或者个人的账户转出。</w:t>
            </w:r>
          </w:p>
        </w:tc>
        <w:tc>
          <w:tcPr>
            <w:tcW w:type="dxa" w:w="1661"/>
          </w:tcPr>
          <w:p>
            <w:pPr>
              <w:pStyle w:val="null3"/>
            </w:pPr>
            <w:r>
              <w:rPr>
                <w:rFonts w:ascii="仿宋_GB2312" w:hAnsi="仿宋_GB2312" w:cs="仿宋_GB2312" w:eastAsia="仿宋_GB2312"/>
              </w:rPr>
              <w:t>项目管理人员 供货渠道证明 中小企业声明函 业绩 商务应答表 承诺书 安全保障 投标人应提供的资格证明文件 投标保证金缴纳凭证 产品技术参数表 质量保证 售后服务 投标函 残疾人福利性单位声明函 标的清单 投标文件封面 管理体系 紧急预案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一般技术参数</w:t>
            </w:r>
          </w:p>
        </w:tc>
        <w:tc>
          <w:tcPr>
            <w:tcW w:type="dxa" w:w="2492"/>
          </w:tcPr>
          <w:p>
            <w:pPr>
              <w:pStyle w:val="null3"/>
            </w:pPr>
            <w:r>
              <w:rPr>
                <w:rFonts w:ascii="仿宋_GB2312" w:hAnsi="仿宋_GB2312" w:cs="仿宋_GB2312" w:eastAsia="仿宋_GB2312"/>
              </w:rPr>
              <w:t>完全符合、响应招标文件要求，满足采购人的采购要求，没有负偏离计3分；参数每负偏离一项扣0.05分（此处“一项”指附件1视觉识别系统制作安装项目内容清单中每一个序号中的所有参数即为一项参数，即从序号1“户外环境（入口位置正门雕塑）”至“说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重要技术参数</w:t>
            </w:r>
          </w:p>
        </w:tc>
        <w:tc>
          <w:tcPr>
            <w:tcW w:type="dxa" w:w="2492"/>
          </w:tcPr>
          <w:p>
            <w:pPr>
              <w:pStyle w:val="null3"/>
            </w:pPr>
            <w:r>
              <w:rPr>
                <w:rFonts w:ascii="仿宋_GB2312" w:hAnsi="仿宋_GB2312" w:cs="仿宋_GB2312" w:eastAsia="仿宋_GB2312"/>
              </w:rPr>
              <w:t>在上述所有技术参数没有负偏离的前提下，提供证明材料佐证所投产品的主材技术指标满足以下要求的，每满足一项加2分，满分6分。（此处“一项”指附件1视觉识别系统制作安装项目内容清单中“重要技术参数”内容） ①所有用到的亚克力需满足参数：拉伸强度≥70MPa，弯曲强度≥93MPa，氙弧灯光老化8000h，总透光率≥91，洛氏硬度≥98HRM；②不锈钢性能不低于304号不锈钢；③所有发光光源为防水LED，防水等级≥IPX6。 注：1、证明材料要求：以检测报告或产品官网截图或产品说明书等作为评审依据。各证明材料中的技术指标应保持一致，若不一致以最不利于技术参数响应的证明材料进行评审。 2、若投标人同一主材存在多个品牌或型号，需均优于上述要求方可得分。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投标人提供完善的管理体系，有规范、完整的实施组织机构，有整体安装计划、工期进度安排 满足招标文件要求，无瑕疵：3分； 方案内容存在1处瑕疵：2分；方案内容存在2处瑕疵：1分；未提供方案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管理体系</w:t>
            </w:r>
          </w:p>
        </w:tc>
      </w:tr>
      <w:tr>
        <w:tc>
          <w:tcPr>
            <w:tcW w:type="dxa" w:w="831"/>
            <w:vMerge/>
          </w:tcPr>
          <w:p/>
        </w:tc>
        <w:tc>
          <w:tcPr>
            <w:tcW w:type="dxa" w:w="1661"/>
          </w:tcPr>
          <w:p>
            <w:pPr>
              <w:pStyle w:val="null3"/>
            </w:pPr>
            <w:r>
              <w:rPr>
                <w:rFonts w:ascii="仿宋_GB2312" w:hAnsi="仿宋_GB2312" w:cs="仿宋_GB2312" w:eastAsia="仿宋_GB2312"/>
              </w:rPr>
              <w:t>项目管理人员</w:t>
            </w:r>
          </w:p>
        </w:tc>
        <w:tc>
          <w:tcPr>
            <w:tcW w:type="dxa" w:w="2492"/>
          </w:tcPr>
          <w:p>
            <w:pPr>
              <w:pStyle w:val="null3"/>
            </w:pPr>
            <w:r>
              <w:rPr>
                <w:rFonts w:ascii="仿宋_GB2312" w:hAnsi="仿宋_GB2312" w:cs="仿宋_GB2312" w:eastAsia="仿宋_GB2312"/>
              </w:rPr>
              <w:t>1.拟派项目经理：具有类似项目2年及以上相关从业经验，得3分，未提供不得分。（提供相关佐证材料）； 2.项目实施团队： 投标人提供人员配置方案及人员配置清单，相关专业人数不得少于4个(除项目经理以外），满分4分。少一人扣1分，扣完为止，未提供不得分。（提供以上人员有效的技术能力、相关经验证明材料及2025年1月至今任意三个月社会保障资金缴纳证明，相关经验所提供材料必须真实、可信，如未完整提供不计分，虚假提供的取消投标资格。）</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项目管理人员</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安全制度、安全管理机构完善，施工过程中有具体的安全操作规程、安全文明保护措施，以及针对本项目实施过程中、使用过程中存在的安全隐患，有合理化措施的。 满足招标文件要求，无瑕疵的得8分； 方案内容存在1处瑕疵：5分； 方案内容存在2处瑕疵：2分； 未提供方案或方案内容存在3处以上瑕疵：0分。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w:t>
            </w:r>
          </w:p>
        </w:tc>
      </w:tr>
      <w:tr>
        <w:tc>
          <w:tcPr>
            <w:tcW w:type="dxa" w:w="831"/>
            <w:vMerge/>
          </w:tcPr>
          <w:p/>
        </w:tc>
        <w:tc>
          <w:tcPr>
            <w:tcW w:type="dxa" w:w="1661"/>
          </w:tcPr>
          <w:p>
            <w:pPr>
              <w:pStyle w:val="null3"/>
            </w:pPr>
            <w:r>
              <w:rPr>
                <w:rFonts w:ascii="仿宋_GB2312" w:hAnsi="仿宋_GB2312" w:cs="仿宋_GB2312" w:eastAsia="仿宋_GB2312"/>
              </w:rPr>
              <w:t>紧急预案</w:t>
            </w:r>
          </w:p>
        </w:tc>
        <w:tc>
          <w:tcPr>
            <w:tcW w:type="dxa" w:w="2492"/>
          </w:tcPr>
          <w:p>
            <w:pPr>
              <w:pStyle w:val="null3"/>
            </w:pPr>
            <w:r>
              <w:rPr>
                <w:rFonts w:ascii="仿宋_GB2312" w:hAnsi="仿宋_GB2312" w:cs="仿宋_GB2312" w:eastAsia="仿宋_GB2312"/>
              </w:rPr>
              <w:t>投标人提供紧急问题的解决方案，需包含在配送运输中、施工过程中、使用中等发现问题后的解决措施。 满足招标文件要求，无瑕疵：7分； 方案内容存在1处瑕疵：5分； 方案内容存在2处瑕疵：3分；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提供所投产品主要原材料（亚克力、不锈钢、膜、LED模组、变压器、液晶屏等）合法来源渠道证明文件（销售协议或代理协议或原厂授权等），主要原材料证明材料完整计3分，证明材料不完整或提供不齐全、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紧急预案</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主要原材料（亚克力、不锈钢、膜、LED模组、变压器、液晶屏等）合法来源渠道证明文件（销售协议或代理协议或原厂授权等），主要原材料证明材料完整计3分，证明材料不完整或提供不齐全、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提供质量保障方案，包括：结构胶等辅材应满足低VOC释放量的要求；对于可能释放甲醛的辅材，其甲醛释放量应满足国家或地方相关标准；提供相关证明材料。 满足招标文件要求，无瑕疵：5分； 方案内容存在1处瑕疵：3分； 内容存在2处瑕疵：1分；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提供供应商近三年（2022年1月1日以来）同类项目合同（以合同签订日期为准），每提供1个得1分，最高得5分。备注：响应文件中提供合同复印件加盖公章，否则不得分。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1、售后服务机构健全，能够提供本地化服务得2分。 2、具有相应的物力、人力保障，能够保证产、供、销，服务正常运转，有详细的在设备发生不同类型故障后的到达现场时间、解决故障时间、补救措施等方面的措施或方案，同时具有明确的承诺且符合实际需求，提供详细的售后服务方案及售后服务承诺等。 满足招标文件要求，无瑕疵：6分； 方案内容存在1处瑕疵：4分； 方案内容存在2处瑕疵：2分； 未提供方案或内容存在3处及以上瑕疵：0分。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1、IP雕塑（玻璃钢雕塑，等比例缩小，可以无骨架，高度不超过600mm，另外检验拉伸强度，可贴一段骨架小样，尺寸不超过300mm） （1）样品材质、工艺满足招标文件要求，色彩准确、质感很好，计5分； （2）样品材质、工艺流程满足招标文件要求，但展示效果存在瑕疵（如边角处理较为粗糙、漆面不均匀、亮度不够等），色彩较为准确、质感一般，计3分； （3）样品材质或工艺不满足招标文件要求或色彩存在明显偏色，质感较差，计0分。 2、渡银河主题（彩色亚克力连接部位部分结构，1:1等比例，高度不超过800mm） （1）样品材质、工艺满足招标文件要求，画面清晰度高、色彩准确、质感很好，计5分； （2）样品材质、工艺流程满足招标文件要求，但展示效果存在瑕疵（如边角处理较为粗糙、画面清晰度稍弱等），色彩较为准确、质感一般，计3分； （3）样品材质或工艺不满足招标文件要求或色采存在明显偏色，质感较差，计0分。 3、沙发局部结构（可等比缩小至500mm左右） （1）样品材质、工艺满足招标文件要求，色彩准确、质感很好，计5分； （2）样品材质、工艺流程满足招标文件要求，但展示效果存在瑕疵（如边角处理较为粗糙、漆面不均匀、亮度不够等），色彩较为准确、质感一般，计3分； （3）样品材质或工艺不满足招标文件要求或色彩存在明显偏色，质感较差，计0分。 注：1、样品清单中需明确样品主材（不锈钢、亚克力、膜）的品牌及型号，主材（不锈钢、亚克力、变压器、膜、LED等）需随样品提交检测报告复印件，未提供或提供不全则对应样品不计分； 2、若样品主材（不锈钢、亚克力、膜）的品牌及型号与投标文件中载明的品牌及型号不符则对应样品不计分。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详见附件：投标人应提供的资格证明文件</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详见附件：安全保障</w:t>
      </w:r>
    </w:p>
    <w:p>
      <w:pPr>
        <w:pStyle w:val="null3"/>
        <w:ind w:firstLine="960"/>
      </w:pPr>
      <w:r>
        <w:rPr>
          <w:rFonts w:ascii="仿宋_GB2312" w:hAnsi="仿宋_GB2312" w:cs="仿宋_GB2312" w:eastAsia="仿宋_GB2312"/>
        </w:rPr>
        <w:t>详见附件：供货渠道证明</w:t>
      </w:r>
    </w:p>
    <w:p>
      <w:pPr>
        <w:pStyle w:val="null3"/>
        <w:ind w:firstLine="960"/>
      </w:pPr>
      <w:r>
        <w:rPr>
          <w:rFonts w:ascii="仿宋_GB2312" w:hAnsi="仿宋_GB2312" w:cs="仿宋_GB2312" w:eastAsia="仿宋_GB2312"/>
        </w:rPr>
        <w:t>详见附件：管理体系</w:t>
      </w:r>
    </w:p>
    <w:p>
      <w:pPr>
        <w:pStyle w:val="null3"/>
        <w:ind w:firstLine="960"/>
      </w:pPr>
      <w:r>
        <w:rPr>
          <w:rFonts w:ascii="仿宋_GB2312" w:hAnsi="仿宋_GB2312" w:cs="仿宋_GB2312" w:eastAsia="仿宋_GB2312"/>
        </w:rPr>
        <w:t>详见附件：紧急预案</w:t>
      </w:r>
    </w:p>
    <w:p>
      <w:pPr>
        <w:pStyle w:val="null3"/>
        <w:ind w:firstLine="960"/>
      </w:pPr>
      <w:r>
        <w:rPr>
          <w:rFonts w:ascii="仿宋_GB2312" w:hAnsi="仿宋_GB2312" w:cs="仿宋_GB2312" w:eastAsia="仿宋_GB2312"/>
        </w:rPr>
        <w:t>详见附件：项目管理人员</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