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版本号：SXHT-(GK)20251003.3B120251126001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纳米压痕仪、三维表面形貌仪、图像粒度粒形分析仪采购项目(二次)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SXHT-(GK)20251003.3B1</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陕西海堂项目管理咨询有限公司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陕西海堂项目管理咨询有限公司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纳米压痕仪、三维表面形貌仪、图像粒度粒形分析仪采购项目(二次)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SXHT-(GK)20251003.3B1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纳米压痕仪、三维表面形貌仪、图像粒度粒形分析仪采购项目(二次)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西安石油大学纳米压痕仪、三维表面形貌仪、图像粒度粒形分析仪采购项目，具体内容详见招标文件第三章。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或法定代表人授权书及授权代表身份证：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p>
      <w:pPr>
        <w:pStyle w:val="null3"/>
      </w:pPr>
      <w:r>
        <w:rPr>
          <w:rFonts w:ascii="仿宋_GB2312" w:hAnsi="仿宋_GB2312" w:cs="仿宋_GB2312" w:eastAsia="仿宋_GB2312"/>
        </w:rPr>
        <w:t>2、进口产品授权链：所投产品为进口产品的，须提供所投产品厂家授权书或总代理商授权书（提供总代理商授权书的须出具有效授权权限的相关证明文件，证明文件须能显示产品制造厂家对所投产品授权链条的完整性）；</w:t>
      </w:r>
    </w:p>
    <w:p>
      <w:pPr>
        <w:pStyle w:val="null3"/>
      </w:pPr>
      <w:r>
        <w:rPr>
          <w:rFonts w:ascii="仿宋_GB2312" w:hAnsi="仿宋_GB2312" w:cs="仿宋_GB2312" w:eastAsia="仿宋_GB2312"/>
        </w:rPr>
        <w:t>3、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西安石油大学经办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陕西海堂项目管理咨询有限公司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西安市建西街123号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党鑫圣、田华、李姣、薛莉莉、雷红涛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开户名称：中国建设银行股份有限公司西安文艺北路支行</w:t>
            </w:r>
          </w:p>
          <w:p>
            <w:pPr>
              <w:pStyle w:val="null3"/>
            </w:pPr>
            <w:r>
              <w:rPr>
                <w:rFonts w:ascii="仿宋_GB2312" w:hAnsi="仿宋_GB2312" w:cs="仿宋_GB2312" w:eastAsia="仿宋_GB2312"/>
              </w:rPr>
              <w:t>开户银行：陕西海堂项目管理咨询有限公司</w:t>
            </w:r>
          </w:p>
          <w:p>
            <w:pPr>
              <w:pStyle w:val="null3"/>
            </w:pPr>
            <w:r>
              <w:rPr>
                <w:rFonts w:ascii="仿宋_GB2312" w:hAnsi="仿宋_GB2312" w:cs="仿宋_GB2312" w:eastAsia="仿宋_GB2312"/>
              </w:rPr>
              <w:t>银行账号：61050172400000000275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说明：1.合同签订前，中标人须向采购人提交合同总价的5.0%作为履约保证金；2.产品交付并由采购人验收合格后，中标人申请，采购人将履约保证金（无息）退还中标人。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同意代理机构的招标代理服务费参见国家计委颁布的《招标代理服务收费管理暂行办法》（计价格[2002]1980号）和（发改办价格[2011]534号）货物类收费标准的90%收取，按照中标金额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陕西海堂项目管理咨询有限公司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西安石油大学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陕西海堂项目管理咨询有限公司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陕西海堂项目管理咨询有限公司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联系人：王工、党工</w:t>
      </w:r>
    </w:p>
    <w:p>
      <w:pPr>
        <w:pStyle w:val="null3"/>
      </w:pPr>
      <w:r>
        <w:rPr>
          <w:rFonts w:ascii="仿宋_GB2312" w:hAnsi="仿宋_GB2312" w:cs="仿宋_GB2312" w:eastAsia="仿宋_GB2312"/>
        </w:rPr>
        <w:t>联系电话：029-85266606</w:t>
      </w:r>
    </w:p>
    <w:p>
      <w:pPr>
        <w:pStyle w:val="null3"/>
      </w:pPr>
      <w:r>
        <w:rPr>
          <w:rFonts w:ascii="仿宋_GB2312" w:hAnsi="仿宋_GB2312" w:cs="仿宋_GB2312" w:eastAsia="仿宋_GB2312"/>
        </w:rPr>
        <w:t>地址：陕西海堂项目管理咨询有限公司</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西安石油大学纳米压痕仪、三维表面形貌仪、图像粒度粒形分析仪采购项目，具体内容详见招标文件第三章。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图像粒度粒形分析仪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标的名称：图像粒度粒形分析仪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广泛地应用于各种粉体及颗粒样品的粒度分布测试及颗粒形貌量化表征，主机粒度检测范围满足</w:t>
            </w:r>
            <w:r>
              <w:rPr>
                <w:rFonts w:ascii="仿宋_GB2312" w:hAnsi="仿宋_GB2312" w:cs="仿宋_GB2312" w:eastAsia="仿宋_GB2312"/>
                <w:sz w:val="24"/>
              </w:rPr>
              <w:t>1um-8mm（8mm为最大颗粒直径，非检测窗口直径）</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整机遵循并采用</w:t>
            </w:r>
            <w:r>
              <w:rPr>
                <w:rFonts w:ascii="仿宋_GB2312" w:hAnsi="仿宋_GB2312" w:cs="仿宋_GB2312" w:eastAsia="仿宋_GB2312"/>
                <w:sz w:val="24"/>
              </w:rPr>
              <w:t>ISO13322-2动态图像法原理及标准</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不得使用附加模块动态图像法来实现测量需求</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高速镜头数量</w:t>
            </w:r>
            <w:r>
              <w:rPr>
                <w:rFonts w:ascii="仿宋_GB2312" w:hAnsi="仿宋_GB2312" w:cs="仿宋_GB2312" w:eastAsia="仿宋_GB2312"/>
                <w:sz w:val="24"/>
              </w:rPr>
              <w:t>≥2个。在全量程（1um~8mm）范围内一次完成测量，无需更换或者切换镜头, 无分批测量、无后续数据拼接。</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拍摄速率与帧数：在单张照片像素</w:t>
            </w:r>
            <w:r>
              <w:rPr>
                <w:rFonts w:ascii="仿宋_GB2312" w:hAnsi="仿宋_GB2312" w:cs="仿宋_GB2312" w:eastAsia="仿宋_GB2312"/>
                <w:sz w:val="24"/>
              </w:rPr>
              <w:t>不低于或优于</w:t>
            </w:r>
            <w:r>
              <w:rPr>
                <w:rFonts w:ascii="仿宋_GB2312" w:hAnsi="仿宋_GB2312" w:cs="仿宋_GB2312" w:eastAsia="仿宋_GB2312"/>
                <w:sz w:val="24"/>
              </w:rPr>
              <w:t>400万像素的条件下，成像速度</w:t>
            </w:r>
            <w:r>
              <w:rPr>
                <w:rFonts w:ascii="仿宋_GB2312" w:hAnsi="仿宋_GB2312" w:cs="仿宋_GB2312" w:eastAsia="仿宋_GB2312"/>
                <w:sz w:val="24"/>
              </w:rPr>
              <w:t>不低于或优于</w:t>
            </w:r>
            <w:r>
              <w:rPr>
                <w:rFonts w:ascii="仿宋_GB2312" w:hAnsi="仿宋_GB2312" w:cs="仿宋_GB2312" w:eastAsia="仿宋_GB2312"/>
                <w:sz w:val="24"/>
              </w:rPr>
              <w:t>300帧/秒；在此速度下，图像可实时存储并观察分析；</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rPr>
              <w:t>振动进样器：具备自反馈功能及参数调节</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rPr>
              <w:t>配备加压气流干法模块，该模块下粒度检测范围满足</w:t>
            </w:r>
            <w:r>
              <w:rPr>
                <w:rFonts w:ascii="仿宋_GB2312" w:hAnsi="仿宋_GB2312" w:cs="仿宋_GB2312" w:eastAsia="仿宋_GB2312"/>
                <w:sz w:val="24"/>
              </w:rPr>
              <w:t>1um-5mm，加压气流设备可调压力范围0-4bar</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rPr>
              <w:t>配置自由落体分散模块，粒度检测范围满足</w:t>
            </w:r>
            <w:r>
              <w:rPr>
                <w:rFonts w:ascii="仿宋_GB2312" w:hAnsi="仿宋_GB2312" w:cs="仿宋_GB2312" w:eastAsia="仿宋_GB2312"/>
                <w:sz w:val="24"/>
              </w:rPr>
              <w:t>10um~8mm</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4"/>
              </w:rPr>
              <w:t>精度误差</w:t>
            </w:r>
            <w:r>
              <w:rPr>
                <w:rFonts w:ascii="仿宋_GB2312" w:hAnsi="仿宋_GB2312" w:cs="仿宋_GB2312" w:eastAsia="仿宋_GB2312"/>
                <w:sz w:val="24"/>
              </w:rPr>
              <w:t>±0.5%，重复性误差±0.5%</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一次进样可以同时检测颗粒样品的形貌信息，包含但不局限于球形度、长径比、对称性、凹凸度、圆润度等信息</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4"/>
              </w:rPr>
              <w:t>测试软件具备双镜头观测窗口并可同时测试观察</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4"/>
              </w:rPr>
              <w:t>分散系统模块化设计，可自由更换，支持热插拔</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加压气流干法配备喷嘴</w:t>
            </w:r>
            <w:r>
              <w:rPr>
                <w:rFonts w:ascii="仿宋_GB2312" w:hAnsi="仿宋_GB2312" w:cs="仿宋_GB2312" w:eastAsia="仿宋_GB2312"/>
                <w:sz w:val="24"/>
              </w:rPr>
              <w:t>≥2个</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4"/>
              </w:rPr>
              <w:t>典型分析样品量</w:t>
            </w:r>
            <w:r>
              <w:rPr>
                <w:rFonts w:ascii="仿宋_GB2312" w:hAnsi="仿宋_GB2312" w:cs="仿宋_GB2312" w:eastAsia="仿宋_GB2312"/>
                <w:sz w:val="24"/>
              </w:rPr>
              <w:t>20mg－100g，典型检测用时约1~3分钟</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4"/>
              </w:rPr>
              <w:t>具备实时观察检测过程，并可以存储图像以进行分析</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4"/>
              </w:rPr>
              <w:t>粒度测试结果可以与筛分机结果直接兼容拟对，可以替代筛分法对样品进行检测</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4"/>
              </w:rPr>
              <w:t>软件具备</w:t>
            </w:r>
            <w:r>
              <w:rPr>
                <w:rFonts w:ascii="仿宋_GB2312" w:hAnsi="仿宋_GB2312" w:cs="仿宋_GB2312" w:eastAsia="仿宋_GB2312"/>
                <w:sz w:val="24"/>
              </w:rPr>
              <w:t>100%筛分拟合功能及多重拟合功能</w:t>
            </w:r>
          </w:p>
        </w:tc>
      </w:tr>
      <w:tr>
        <w:tc>
          <w:tcPr>
            <w:tcW w:type="dxa" w:w="2769"/>
          </w:tcPr>
          <w:p>
            <w:pPr>
              <w:pStyle w:val="null3"/>
            </w:pPr>
            <w:r>
              <w:rPr>
                <w:rFonts w:ascii="仿宋_GB2312" w:hAnsi="仿宋_GB2312" w:cs="仿宋_GB2312" w:eastAsia="仿宋_GB2312"/>
              </w:rPr>
              <w:t>18</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具备内置图像数据库，且具备一次测量实时存储百万级别颗粒信息图像及数据的能力</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sz w:val="24"/>
              </w:rPr>
              <w:t>专业软件及数据库界面同时提供中文及英文界面；</w:t>
            </w:r>
          </w:p>
        </w:tc>
      </w:tr>
      <w:tr>
        <w:tc>
          <w:tcPr>
            <w:tcW w:type="dxa" w:w="2769"/>
          </w:tcPr>
          <w:p>
            <w:pPr>
              <w:pStyle w:val="null3"/>
            </w:pPr>
            <w:r>
              <w:rPr>
                <w:rFonts w:ascii="仿宋_GB2312" w:hAnsi="仿宋_GB2312" w:cs="仿宋_GB2312" w:eastAsia="仿宋_GB2312"/>
              </w:rPr>
              <w:t>20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主要软件功能：</w:t>
            </w:r>
          </w:p>
          <w:p>
            <w:pPr>
              <w:pStyle w:val="null3"/>
            </w:pPr>
            <w:r>
              <w:rPr>
                <w:rFonts w:ascii="仿宋_GB2312" w:hAnsi="仿宋_GB2312" w:cs="仿宋_GB2312" w:eastAsia="仿宋_GB2312"/>
                <w:sz w:val="24"/>
              </w:rPr>
              <w:t>控制软件：实时处理检测数据并得到检测结果，窗口化设计，可同时叠加比较</w:t>
            </w:r>
            <w:r>
              <w:rPr>
                <w:rFonts w:ascii="仿宋_GB2312" w:hAnsi="仿宋_GB2312" w:cs="仿宋_GB2312" w:eastAsia="仿宋_GB2312"/>
                <w:sz w:val="24"/>
              </w:rPr>
              <w:t>20个以上测试数据及曲线</w:t>
            </w:r>
          </w:p>
          <w:p>
            <w:pPr>
              <w:pStyle w:val="null3"/>
            </w:pPr>
            <w:r>
              <w:rPr>
                <w:rFonts w:ascii="仿宋_GB2312" w:hAnsi="仿宋_GB2312" w:cs="仿宋_GB2312" w:eastAsia="仿宋_GB2312"/>
                <w:sz w:val="24"/>
              </w:rPr>
              <w:t>专业软件可安装在个人计算机上离线使用，无需连接测试设备即可以处理原始数据，并可离线使用图像数据库，并生成检测报告。</w:t>
            </w:r>
          </w:p>
          <w:p>
            <w:pPr>
              <w:pStyle w:val="null3"/>
              <w:jc w:val="both"/>
            </w:pPr>
            <w:r>
              <w:rPr>
                <w:rFonts w:ascii="仿宋_GB2312" w:hAnsi="仿宋_GB2312" w:cs="仿宋_GB2312" w:eastAsia="仿宋_GB2312"/>
                <w:sz w:val="24"/>
              </w:rPr>
              <w:t>具有专业颗粒图库功能，具备自动切割，自动排序，多重参数软件过滤器以筛选符合特定条件的颗粒集群。</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sz w:val="24"/>
              </w:rPr>
              <w:t>数据采集及处理设备硬件指标</w:t>
            </w:r>
            <w:r>
              <w:rPr>
                <w:rFonts w:ascii="仿宋_GB2312" w:hAnsi="仿宋_GB2312" w:cs="仿宋_GB2312" w:eastAsia="仿宋_GB2312"/>
                <w:sz w:val="24"/>
              </w:rPr>
              <w:t>:</w:t>
            </w:r>
          </w:p>
          <w:p>
            <w:pPr>
              <w:pStyle w:val="null3"/>
            </w:pPr>
            <w:r>
              <w:rPr>
                <w:rFonts w:ascii="仿宋_GB2312" w:hAnsi="仿宋_GB2312" w:cs="仿宋_GB2312" w:eastAsia="仿宋_GB2312"/>
                <w:sz w:val="24"/>
              </w:rPr>
              <w:t>CPU≥8核,主频≥3.2GHZ，内存≥16G;系统固态硬盘≥1T，数据硬盘≥1T，</w:t>
            </w:r>
          </w:p>
          <w:p>
            <w:pPr>
              <w:pStyle w:val="null3"/>
              <w:jc w:val="both"/>
            </w:pPr>
            <w:r>
              <w:rPr>
                <w:rFonts w:ascii="仿宋_GB2312" w:hAnsi="仿宋_GB2312" w:cs="仿宋_GB2312" w:eastAsia="仿宋_GB2312"/>
                <w:sz w:val="24"/>
              </w:rPr>
              <w:t>显示器</w:t>
            </w:r>
            <w:r>
              <w:rPr>
                <w:rFonts w:ascii="仿宋_GB2312" w:hAnsi="仿宋_GB2312" w:cs="仿宋_GB2312" w:eastAsia="仿宋_GB2312"/>
                <w:sz w:val="24"/>
              </w:rPr>
              <w:t>≥27</w:t>
            </w:r>
            <w:r>
              <w:rPr>
                <w:rFonts w:ascii="仿宋_GB2312" w:hAnsi="仿宋_GB2312" w:cs="仿宋_GB2312" w:eastAsia="仿宋_GB2312"/>
                <w:sz w:val="24"/>
              </w:rPr>
              <w:t>英</w:t>
            </w:r>
            <w:r>
              <w:rPr>
                <w:rFonts w:ascii="仿宋_GB2312" w:hAnsi="仿宋_GB2312" w:cs="仿宋_GB2312" w:eastAsia="仿宋_GB2312"/>
                <w:sz w:val="24"/>
              </w:rPr>
              <w:t>寸</w:t>
            </w:r>
            <w:r>
              <w:rPr>
                <w:rFonts w:ascii="仿宋_GB2312" w:hAnsi="仿宋_GB2312" w:cs="仿宋_GB2312" w:eastAsia="仿宋_GB2312"/>
                <w:sz w:val="24"/>
              </w:rPr>
              <w:t>分辨率</w:t>
            </w:r>
            <w:r>
              <w:rPr>
                <w:rFonts w:ascii="仿宋_GB2312" w:hAnsi="仿宋_GB2312" w:cs="仿宋_GB2312" w:eastAsia="仿宋_GB2312"/>
                <w:sz w:val="24"/>
              </w:rPr>
              <w:t>≥2K</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交货时间为本合同生效后90天内到货并安装调试交付使用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西安石油大学指定地点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国产设备：合同签订后，供应商开具全额银行保函，采购人收到银行保函正本后，一次性付清合同货款，待货物到达指定地点、安装调试验收合格后，采购人退还银行保函。进口设备：合同签订后，由甲方通过进口业务代理公司向中标人指定国外设备供应商开出100%信用证，待货物到货、安装调试、并经学校组织验收合格后，由甲方通知进出口业务代理公司向乙方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质保期：硬件三年,软件五年。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 1、报价要求： （1）供应商应当根据采购文件的要求和范围，以人民币为货币，以元为报价单位。 （2）报价：投标报价是指到达使用地点、验收合格达到正常使用条件前的所有费用，包括但不限于以下费用：货物价值、安装调试费、国内外运杂费（含保险）、仓储保管费、技术培训费、检测费、施工费、人工费、进口业务相关费用（按合同金额的0.6%收取。包括外贸代理公司进口业务代理费、国内外银行手续费、报关费、商检费等）及进口货物按国家政策征收的一切税费（按国家政策规定甲方可以享受的免税部分除外）等全部相关费用； （3）投标人所提供的产品型号、产地等重要信息，需要与仪器机身保持一致。 2、合同签订前，中标人须向采购人提交合同总价的3.0%作为履约保证金；2.产品交付并由采购人验收合格后，中标人申请，采购人将履约保证金（无息）退还中标人。 采购包1需要落实的政府采购政策：①《国务院办公厅关于建立政府强制采购节能产品制度的通知》（国办发〔2007〕51号）；②《财政部 司法部关于政府采购支持监狱企业发展有关问题的通知》（财库〔2014〕68号）；③《三部门联合发布关于促进残疾人就业政府采购政策的通知》（财库〔2017〕141号）；④《财政部 发展改革委 生态环境部 市场监管总局关于调整优化节能产品、环境标志产品政府采购执行机制的通知》（财库〔2019〕9号）；⑤《关于运用政府采购政策支持乡村产业振兴的通知》（财库〔2021〕19号）；⑥《政府采购促进中小企业发展管理办法》（财库〔2020〕46号）；⑦陕西省财政厅关于印发《陕西省中小企业政府采购信用融资办法》（陕财办采〔2018〕23号）；⑧《关于进一步加大政府采购支持中小企业力度的通知》（财库〔2022〕19号）；⑨《关于扩大政府采购支持绿色建材促进建筑品质提升政策实施范围的通知》（财库〔2022〕35号）；⑩如有最新颁布的政府采购政策，按最新的文件执行。 采购包1的中标供应商应在中标结果发布后2日内提供与电子化交易平台上传一致的纸质投标文件2份。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1、供应商为合法注册的法人、其他组织或自然人，具有独立承担民事责任的能力，提供有效的证明材料； 2、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进口业务相关费用报价表.docx 投标函 中小企业声明函 残疾人福利性单位声明函 法定代表人证明书及法定代表人授权书.docx 投标文件封面 投标人应提交的相关资格证明材料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法定代表人身份证或法定代表人授权书及授权代表身份证</w:t>
            </w:r>
          </w:p>
        </w:tc>
        <w:tc>
          <w:tcPr>
            <w:tcW w:type="dxa" w:w="3322"/>
          </w:tcPr>
          <w:p>
            <w:pPr>
              <w:pStyle w:val="null3"/>
            </w:pPr>
            <w:r>
              <w:rPr>
                <w:rFonts w:ascii="仿宋_GB2312" w:hAnsi="仿宋_GB2312" w:cs="仿宋_GB2312" w:eastAsia="仿宋_GB2312"/>
              </w:rPr>
              <w:t>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tc>
        <w:tc>
          <w:tcPr>
            <w:tcW w:type="dxa" w:w="1661"/>
          </w:tcPr>
          <w:p>
            <w:pPr>
              <w:pStyle w:val="null3"/>
            </w:pPr>
            <w:r>
              <w:rPr>
                <w:rFonts w:ascii="仿宋_GB2312" w:hAnsi="仿宋_GB2312" w:cs="仿宋_GB2312" w:eastAsia="仿宋_GB2312"/>
              </w:rPr>
              <w:t>法定代表人证明书及法定代表人授权书.docx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进口产品授权链</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本项目为非专门面向中、小、微型企业采购项目</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交货时间为本合同生效后90天内到货并安装调试交付使用</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硬件三年,软件五年。</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国产设备：合同签订后，供应商开具全额银行保函，采购人收到银行保函正本后，一次性付清合同货款，待货物到达指定地点、安装调试验收合格后，采购人退还银行保函。 进口设备：合同签订后，由甲方通过进口业务代理公司向中标人指定国外设备供应商开出100%信用证，待货物到货、安装调试、并经学校组织验收合格后，由甲方通知进出口业务代理公司向乙方解付。</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 “★”项为实质性响应条款，须提供相应佐证材料（不限于产品彩页、检测报告、功能截图等），未提供或虽提供但不符合的按无效文件处理。</w:t>
            </w:r>
          </w:p>
        </w:tc>
        <w:tc>
          <w:tcPr>
            <w:tcW w:type="dxa" w:w="1661"/>
          </w:tcPr>
          <w:p>
            <w:pPr>
              <w:pStyle w:val="null3"/>
            </w:pPr>
            <w:r>
              <w:rPr>
                <w:rFonts w:ascii="仿宋_GB2312" w:hAnsi="仿宋_GB2312" w:cs="仿宋_GB2312" w:eastAsia="仿宋_GB2312"/>
              </w:rPr>
              <w:t>产品技术参数表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技术参数和配置</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根据招标文件要求认真审核投标文件中技术参数响应和提供的佐证材料。投标产品的基本功能、产品技术参数和配置完全满足或优于招标文件要求的，得满分30分； “▲”参数每负偏离一项扣4分，未带标识参数每负偏离一项扣2.0分。扣完为止。 备注：1.标“▲”号参数必须提供佐证材料（不限于产品彩页、检测报告、功能截图等），未提供佐证材料或提供的佐证材料无法证明或低于招标要求时按负偏离处理。 2.完全复制或者简单罗列招标文件技术参数要求的，技术参数项扣10分。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在节能或环境标志产品政府采购品目清单中每有一项经国家认证机构认定为节能产品的得0.5分，每有一项为环境标志产品的得0.5分，供应商所投产品中每有一项产品既为节能产品又是环境标志产品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针对本项目提供具体的实施方案，方案内容至少包含：1、总体实施方案；2、计划进度安排；3、项目团队配备；4、供货组织安排；5、安装调试验收方案。 方案内容完整全面，项目执行与项目进度安排、项目验收流程控制明确务实、实践性与可行性强；每有一项缺项扣2分，每有一处内容存在缺陷，扣0.5分，扣完为止。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全生命周期方案</w:t>
            </w:r>
          </w:p>
        </w:tc>
        <w:tc>
          <w:tcPr>
            <w:tcW w:type="dxa" w:w="2492"/>
          </w:tcPr>
          <w:p>
            <w:pPr>
              <w:pStyle w:val="null3"/>
            </w:pPr>
            <w:r>
              <w:rPr>
                <w:rFonts w:ascii="仿宋_GB2312" w:hAnsi="仿宋_GB2312" w:cs="仿宋_GB2312" w:eastAsia="仿宋_GB2312"/>
              </w:rPr>
              <w:t>供应商提供全生命周期方案，至少包含：1、全生命周期的扩展性和延续性；2、硬件与软件的适配性，项目耗材、维护成本等。 方案内容完整全面、有针对性，科学合理可实施性强；每有一项缺项扣2.5分，每有一处内容存在缺陷，扣1.0分，扣完为止。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根据项目实际需求，提供质量保证方案。内容包含：1、产品性能、使用寿命及效果；2、质量保证措施。 方案内容完整全面，产品性能完善、使用寿命长，使用效果好。每有一项缺项扣2.5分，每有一处内容存在缺陷，扣1.0分，扣完为止。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针对本项目有具体的售后服务方案，内容至少包含：1、售后服务网点的设定、日常维护保养；2、项目交付用户后出现故障响应时间及措施；3、备品备件、耗材及时更换的服务内容； 方案内容完整全面，出现故障响应时间及时，响应措施完善；每有一项缺项扣3分；每有一处内容存在缺陷，扣1.0分，扣完为止。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供应商针对本项目提出具体的培训方案，方案内容至少包含：1、培训时间、培训人数、培训方式；2、培训内容应包括所提供产品的原理和技术性能、操作维护方法、安装调试、排除故障等各个方面。 方案内容完整，培训方式多样、培训内容涵盖全面；每有一项缺项扣2.0分，每有一处内容存在缺陷，扣1.0分，扣完为止。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提供供应商2022年10月1日至今（以合同签订日期为准）同类项目业绩。每提供1份得1分，最高得6分。 备注：提供合同复印件及发票复印件并加盖公章。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价格分统一采用低价优先法计算，即满足招标文件要求且价格最低的投标报价为评标基准价，其价格分为满分。其他供应商的价格分统一按照下列公式计算：价格分=(评标基准价／投标报价)×100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详见附件：法定代表人证明书及法定代表人授权书.docx</w:t>
      </w:r>
    </w:p>
    <w:p>
      <w:pPr>
        <w:pStyle w:val="null3"/>
        <w:ind w:firstLine="960"/>
      </w:pPr>
      <w:r>
        <w:rPr>
          <w:rFonts w:ascii="仿宋_GB2312" w:hAnsi="仿宋_GB2312" w:cs="仿宋_GB2312" w:eastAsia="仿宋_GB2312"/>
        </w:rPr>
        <w:t>详见附件：进口业务相关费用报价表.docx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