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76F24">
      <w:pPr>
        <w:pStyle w:val="4"/>
        <w:jc w:val="center"/>
        <w:rPr>
          <w:rFonts w:ascii="仿宋" w:hAnsi="仿宋" w:eastAsia="仿宋" w:cs="MingLiU_HKSCS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技术响应与偏离表</w:t>
      </w:r>
    </w:p>
    <w:p w14:paraId="2227820F">
      <w:pPr>
        <w:pStyle w:val="4"/>
        <w:ind w:firstLine="560" w:firstLineChars="200"/>
        <w:jc w:val="left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ascii="仿宋" w:hAnsi="仿宋" w:eastAsia="仿宋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1"/>
        <w:gridCol w:w="1990"/>
        <w:gridCol w:w="1916"/>
        <w:gridCol w:w="1430"/>
        <w:gridCol w:w="941"/>
        <w:gridCol w:w="941"/>
      </w:tblGrid>
      <w:tr w14:paraId="19CE32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626F543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品目号</w:t>
            </w:r>
          </w:p>
        </w:tc>
        <w:tc>
          <w:tcPr>
            <w:tcW w:w="1167" w:type="pct"/>
            <w:noWrap w:val="0"/>
            <w:vAlign w:val="center"/>
          </w:tcPr>
          <w:p w14:paraId="0685D7D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货物名称</w:t>
            </w:r>
          </w:p>
        </w:tc>
        <w:tc>
          <w:tcPr>
            <w:tcW w:w="1124" w:type="pct"/>
            <w:noWrap w:val="0"/>
            <w:vAlign w:val="center"/>
          </w:tcPr>
          <w:p w14:paraId="2FA1C7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技术指标要求</w:t>
            </w:r>
          </w:p>
        </w:tc>
        <w:tc>
          <w:tcPr>
            <w:tcW w:w="839" w:type="pct"/>
            <w:noWrap w:val="0"/>
            <w:vAlign w:val="center"/>
          </w:tcPr>
          <w:p w14:paraId="5246220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552" w:type="pct"/>
            <w:noWrap w:val="0"/>
            <w:vAlign w:val="center"/>
          </w:tcPr>
          <w:p w14:paraId="249C9AC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52" w:type="pct"/>
            <w:noWrap w:val="0"/>
            <w:vAlign w:val="center"/>
          </w:tcPr>
          <w:p w14:paraId="7B91726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说明</w:t>
            </w:r>
          </w:p>
        </w:tc>
      </w:tr>
      <w:tr w14:paraId="407A5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78E697B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167" w:type="pct"/>
            <w:noWrap w:val="0"/>
            <w:vAlign w:val="center"/>
          </w:tcPr>
          <w:p w14:paraId="321EBAE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1BA4E2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6F24B1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10D1CFF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3AE2A9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64EE66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0A07936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167" w:type="pct"/>
            <w:noWrap w:val="0"/>
            <w:vAlign w:val="center"/>
          </w:tcPr>
          <w:p w14:paraId="214F14C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2FAAE5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02EC1D3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E616069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8DCFF5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862C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350D6B8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167" w:type="pct"/>
            <w:noWrap w:val="0"/>
            <w:vAlign w:val="center"/>
          </w:tcPr>
          <w:p w14:paraId="499A500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231890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158422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66945E4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0C264DB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2B855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290747D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167" w:type="pct"/>
            <w:noWrap w:val="0"/>
            <w:vAlign w:val="center"/>
          </w:tcPr>
          <w:p w14:paraId="4434144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4E6F74C5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614208F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1A073F0D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4483251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7E26FD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173C60CA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167" w:type="pct"/>
            <w:noWrap w:val="0"/>
            <w:vAlign w:val="center"/>
          </w:tcPr>
          <w:p w14:paraId="57329700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5CE0613E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133D83E3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F6F60A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55270656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 w14:paraId="18C74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3" w:type="pct"/>
            <w:noWrap w:val="0"/>
            <w:vAlign w:val="center"/>
          </w:tcPr>
          <w:p w14:paraId="082F4EB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167" w:type="pct"/>
            <w:noWrap w:val="0"/>
            <w:vAlign w:val="center"/>
          </w:tcPr>
          <w:p w14:paraId="4B45CD4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24" w:type="pct"/>
            <w:noWrap w:val="0"/>
            <w:vAlign w:val="center"/>
          </w:tcPr>
          <w:p w14:paraId="76C7F1E7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39" w:type="pct"/>
            <w:noWrap w:val="0"/>
            <w:vAlign w:val="center"/>
          </w:tcPr>
          <w:p w14:paraId="48041092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255C68C4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552" w:type="pct"/>
            <w:noWrap w:val="0"/>
            <w:vAlign w:val="center"/>
          </w:tcPr>
          <w:p w14:paraId="7D14743C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 w14:paraId="617F2589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1EC047B4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1、“技术指标要求”一栏应</w:t>
      </w:r>
      <w:r>
        <w:rPr>
          <w:rFonts w:hint="eastAsia" w:ascii="仿宋" w:hAnsi="仿宋" w:eastAsia="仿宋" w:cs="仿宋"/>
          <w:b/>
          <w:sz w:val="24"/>
          <w:highlight w:val="none"/>
        </w:rPr>
        <w:t>填写谈判文件第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b/>
          <w:sz w:val="24"/>
          <w:highlight w:val="none"/>
        </w:rPr>
        <w:t>章 3.3技术要求</w:t>
      </w:r>
      <w:r>
        <w:rPr>
          <w:rFonts w:hint="eastAsia" w:ascii="仿宋" w:hAnsi="仿宋" w:eastAsia="仿宋" w:cs="仿宋"/>
          <w:bCs/>
          <w:sz w:val="24"/>
          <w:highlight w:val="none"/>
        </w:rPr>
        <w:t>“技术参数与性能指标”的内容；</w:t>
      </w:r>
    </w:p>
    <w:p w14:paraId="45E2DE39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2、“响应情况”一栏必须详细填写响应产品的具体参数，并应对照技术指标要求一一对应响应；</w:t>
      </w:r>
    </w:p>
    <w:p w14:paraId="543570D4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3、“偏离情况”一栏应如实填写“正偏离”、“负偏离”或“无偏离”；</w:t>
      </w:r>
    </w:p>
    <w:p w14:paraId="15081BFF">
      <w:pPr>
        <w:spacing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应完整响应技术要求，并逐条填写《技术响应与偏离表》，如有漏项或缺项，将被视为未实质性满足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按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无效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处理。</w:t>
      </w:r>
    </w:p>
    <w:p w14:paraId="2AE81705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5、供应商所填写的“偏离情况”与</w:t>
      </w:r>
      <w:r>
        <w:rPr>
          <w:rFonts w:hint="eastAsia" w:ascii="仿宋" w:hAnsi="仿宋" w:eastAsia="仿宋" w:cs="仿宋"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sz w:val="24"/>
          <w:highlight w:val="none"/>
        </w:rPr>
        <w:t>小组判定不一致时</w:t>
      </w:r>
      <w:r>
        <w:rPr>
          <w:rFonts w:hint="eastAsia" w:ascii="仿宋" w:hAnsi="仿宋" w:eastAsia="仿宋" w:cs="仿宋"/>
          <w:b/>
          <w:sz w:val="24"/>
          <w:highlight w:val="none"/>
        </w:rPr>
        <w:t>，以</w:t>
      </w:r>
      <w:r>
        <w:rPr>
          <w:rFonts w:hint="eastAsia" w:ascii="仿宋" w:hAnsi="仿宋" w:eastAsia="仿宋" w:cs="仿宋"/>
          <w:b/>
          <w:sz w:val="24"/>
          <w:highlight w:val="none"/>
          <w:lang w:eastAsia="zh-CN"/>
        </w:rPr>
        <w:t>谈判</w:t>
      </w:r>
      <w:r>
        <w:rPr>
          <w:rFonts w:hint="eastAsia" w:ascii="仿宋" w:hAnsi="仿宋" w:eastAsia="仿宋" w:cs="仿宋"/>
          <w:b/>
          <w:sz w:val="24"/>
          <w:highlight w:val="none"/>
        </w:rPr>
        <w:t>小组意见为主。</w:t>
      </w:r>
    </w:p>
    <w:p w14:paraId="770D7348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342D8BA">
      <w:pPr>
        <w:pStyle w:val="4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</w:p>
    <w:p w14:paraId="7069B976">
      <w:pPr>
        <w:pStyle w:val="4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56124CC8">
      <w:pPr>
        <w:pStyle w:val="4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5292BACB">
      <w:r>
        <w:br w:type="page"/>
      </w:r>
    </w:p>
    <w:p w14:paraId="01763DFE">
      <w:pPr>
        <w:pStyle w:val="2"/>
      </w:pPr>
      <w:r>
        <w:rPr>
          <w:rFonts w:hint="eastAsia"/>
        </w:rPr>
        <w:t>后附标★参数证明材料。（注此文档为方便评审，建议插入页码，并在技术响应与偏离表中说明</w:t>
      </w:r>
      <w:r>
        <w:rPr>
          <w:rFonts w:hint="eastAsia"/>
          <w:lang w:val="en-US" w:eastAsia="zh-CN"/>
        </w:rPr>
        <w:t>一栏</w:t>
      </w:r>
      <w:r>
        <w:rPr>
          <w:rFonts w:hint="eastAsia"/>
        </w:rPr>
        <w:t>标明“标★参数”证明材料页码。）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5A806F5"/>
    <w:rsid w:val="34CB3B68"/>
    <w:rsid w:val="396823B0"/>
    <w:rsid w:val="53CC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286</Words>
  <Characters>310</Characters>
  <Lines>0</Lines>
  <Paragraphs>0</Paragraphs>
  <TotalTime>0</TotalTime>
  <ScaleCrop>false</ScaleCrop>
  <LinksUpToDate>false</LinksUpToDate>
  <CharactersWithSpaces>322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2024-04-18T07:32:00Z</dcterms:created>
  <dc:creator>admin</dc:creator>
  <cp:lastModifiedBy>puppet</cp:lastModifiedBy>
  <dcterms:modified xsi:type="dcterms:W3CDTF">2025-11-26T02:54:44Z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5F018C9FC4544E11A19EA92A9707147C_12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