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9BCB3E">
      <w:pPr>
        <w:ind w:firstLine="480" w:firstLineChars="150"/>
        <w:jc w:val="center"/>
        <w:rPr>
          <w:sz w:val="32"/>
          <w:szCs w:val="32"/>
        </w:rPr>
      </w:pPr>
      <w:r>
        <w:rPr>
          <w:rFonts w:hint="eastAsia"/>
          <w:sz w:val="32"/>
          <w:szCs w:val="32"/>
        </w:rPr>
        <w:t>高压气体吸附及恒压吸附速率仪采购项目</w:t>
      </w:r>
      <w:r>
        <w:rPr>
          <w:sz w:val="32"/>
          <w:szCs w:val="32"/>
        </w:rPr>
        <w:t>购置合同</w:t>
      </w:r>
    </w:p>
    <w:p w14:paraId="78A93C36">
      <w:pPr>
        <w:spacing w:line="360" w:lineRule="auto"/>
        <w:ind w:firstLine="315" w:firstLineChars="150"/>
        <w:rPr>
          <w:rFonts w:ascii="仿宋" w:hAnsi="仿宋" w:eastAsia="仿宋" w:cs="仿宋"/>
          <w:szCs w:val="21"/>
        </w:rPr>
      </w:pPr>
      <w:r>
        <w:rPr>
          <w:rFonts w:hint="eastAsia" w:ascii="仿宋" w:hAnsi="仿宋" w:eastAsia="仿宋" w:cs="仿宋"/>
          <w:szCs w:val="21"/>
        </w:rPr>
        <w:t>根据《中华人民共和国政府采购法》、《中华人民共和国民法典》及有关法律规定，遵循平等、自愿、公平和诚实信用的原则，西安石油大学（甲方）与××××公司（乙方）就高压气体吸附及恒压吸附速率仪采购项目（招标编号：</w:t>
      </w:r>
      <w:r>
        <w:rPr>
          <w:rFonts w:hint="eastAsia" w:ascii="仿宋" w:hAnsi="仿宋" w:eastAsia="仿宋" w:cs="仿宋"/>
          <w:szCs w:val="21"/>
          <w:u w:val="single"/>
        </w:rPr>
        <w:t xml:space="preserve">          </w:t>
      </w:r>
      <w:r>
        <w:rPr>
          <w:rFonts w:hint="eastAsia" w:ascii="仿宋" w:hAnsi="仿宋" w:eastAsia="仿宋" w:cs="仿宋"/>
          <w:szCs w:val="21"/>
        </w:rPr>
        <w:t>）经双方协商达成如下合同条款：</w:t>
      </w:r>
    </w:p>
    <w:p w14:paraId="32C01594">
      <w:pPr>
        <w:spacing w:line="360" w:lineRule="auto"/>
        <w:rPr>
          <w:rFonts w:ascii="仿宋" w:hAnsi="仿宋" w:eastAsia="仿宋" w:cs="仿宋"/>
          <w:b/>
          <w:sz w:val="24"/>
        </w:rPr>
      </w:pPr>
      <w:r>
        <w:rPr>
          <w:rFonts w:hint="eastAsia" w:ascii="仿宋" w:hAnsi="仿宋" w:eastAsia="仿宋" w:cs="仿宋"/>
          <w:b/>
          <w:sz w:val="24"/>
        </w:rPr>
        <w:t>一、合同内容</w:t>
      </w:r>
    </w:p>
    <w:p w14:paraId="458935D7">
      <w:pPr>
        <w:spacing w:line="360" w:lineRule="auto"/>
        <w:ind w:firstLine="420" w:firstLineChars="200"/>
        <w:rPr>
          <w:rFonts w:ascii="仿宋" w:hAnsi="仿宋" w:eastAsia="仿宋" w:cs="仿宋"/>
          <w:szCs w:val="21"/>
        </w:rPr>
      </w:pPr>
      <w:r>
        <w:rPr>
          <w:rFonts w:hint="eastAsia" w:ascii="仿宋" w:hAnsi="仿宋" w:eastAsia="仿宋" w:cs="仿宋"/>
          <w:szCs w:val="21"/>
        </w:rPr>
        <w:t>1、购置清单</w:t>
      </w:r>
    </w:p>
    <w:tbl>
      <w:tblPr>
        <w:tblStyle w:val="6"/>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108" w:type="dxa"/>
          <w:bottom w:w="0" w:type="dxa"/>
          <w:right w:w="108" w:type="dxa"/>
        </w:tblCellMar>
      </w:tblPr>
      <w:tblGrid>
        <w:gridCol w:w="1695"/>
        <w:gridCol w:w="1545"/>
        <w:gridCol w:w="1440"/>
        <w:gridCol w:w="810"/>
        <w:gridCol w:w="700"/>
        <w:gridCol w:w="1100"/>
        <w:gridCol w:w="1100"/>
      </w:tblGrid>
      <w:tr w14:paraId="34BD3DE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72BF86D1">
            <w:pPr>
              <w:spacing w:line="360" w:lineRule="auto"/>
              <w:jc w:val="center"/>
              <w:rPr>
                <w:rFonts w:ascii="仿宋" w:hAnsi="仿宋" w:eastAsia="仿宋" w:cs="仿宋"/>
                <w:szCs w:val="21"/>
              </w:rPr>
            </w:pPr>
            <w:r>
              <w:rPr>
                <w:rFonts w:hint="eastAsia" w:ascii="仿宋" w:hAnsi="仿宋" w:eastAsia="仿宋" w:cs="仿宋"/>
                <w:szCs w:val="21"/>
              </w:rPr>
              <w:t>货物名称</w:t>
            </w:r>
          </w:p>
        </w:tc>
        <w:tc>
          <w:tcPr>
            <w:tcW w:w="1545" w:type="dxa"/>
            <w:tcBorders>
              <w:top w:val="single" w:color="auto" w:sz="4" w:space="0"/>
              <w:left w:val="nil"/>
              <w:bottom w:val="single" w:color="auto" w:sz="4" w:space="0"/>
              <w:right w:val="single" w:color="auto" w:sz="4" w:space="0"/>
            </w:tcBorders>
            <w:vAlign w:val="center"/>
          </w:tcPr>
          <w:p w14:paraId="4A16A2B6">
            <w:pPr>
              <w:spacing w:line="360" w:lineRule="auto"/>
              <w:jc w:val="center"/>
              <w:rPr>
                <w:rFonts w:ascii="仿宋" w:hAnsi="仿宋" w:eastAsia="仿宋" w:cs="仿宋"/>
                <w:szCs w:val="21"/>
              </w:rPr>
            </w:pPr>
            <w:r>
              <w:rPr>
                <w:rFonts w:hint="eastAsia" w:ascii="仿宋" w:hAnsi="仿宋" w:eastAsia="仿宋" w:cs="仿宋"/>
                <w:szCs w:val="21"/>
              </w:rPr>
              <w:t>型号与规格</w:t>
            </w:r>
          </w:p>
        </w:tc>
        <w:tc>
          <w:tcPr>
            <w:tcW w:w="1440" w:type="dxa"/>
            <w:tcBorders>
              <w:top w:val="single" w:color="auto" w:sz="4" w:space="0"/>
              <w:left w:val="nil"/>
              <w:bottom w:val="single" w:color="auto" w:sz="4" w:space="0"/>
              <w:right w:val="single" w:color="auto" w:sz="4" w:space="0"/>
            </w:tcBorders>
            <w:vAlign w:val="center"/>
          </w:tcPr>
          <w:p w14:paraId="2D5DDE49">
            <w:pPr>
              <w:spacing w:line="360" w:lineRule="auto"/>
              <w:jc w:val="center"/>
              <w:rPr>
                <w:rFonts w:ascii="仿宋" w:hAnsi="仿宋" w:eastAsia="仿宋" w:cs="仿宋"/>
                <w:szCs w:val="21"/>
              </w:rPr>
            </w:pPr>
            <w:r>
              <w:rPr>
                <w:rFonts w:hint="eastAsia" w:ascii="仿宋" w:hAnsi="仿宋" w:eastAsia="仿宋" w:cs="仿宋"/>
                <w:szCs w:val="21"/>
              </w:rPr>
              <w:t>生产商、产地</w:t>
            </w:r>
          </w:p>
        </w:tc>
        <w:tc>
          <w:tcPr>
            <w:tcW w:w="810" w:type="dxa"/>
            <w:tcBorders>
              <w:top w:val="single" w:color="auto" w:sz="4" w:space="0"/>
              <w:left w:val="nil"/>
              <w:bottom w:val="single" w:color="auto" w:sz="4" w:space="0"/>
              <w:right w:val="single" w:color="auto" w:sz="4" w:space="0"/>
            </w:tcBorders>
            <w:vAlign w:val="center"/>
          </w:tcPr>
          <w:p w14:paraId="69DC31C9">
            <w:pPr>
              <w:spacing w:line="360" w:lineRule="auto"/>
              <w:jc w:val="center"/>
              <w:rPr>
                <w:rFonts w:ascii="仿宋" w:hAnsi="仿宋" w:eastAsia="仿宋" w:cs="仿宋"/>
                <w:szCs w:val="21"/>
              </w:rPr>
            </w:pPr>
            <w:r>
              <w:rPr>
                <w:rFonts w:hint="eastAsia" w:ascii="仿宋" w:hAnsi="仿宋" w:eastAsia="仿宋" w:cs="仿宋"/>
                <w:szCs w:val="21"/>
              </w:rPr>
              <w:t>数量</w:t>
            </w:r>
          </w:p>
        </w:tc>
        <w:tc>
          <w:tcPr>
            <w:tcW w:w="700" w:type="dxa"/>
            <w:tcBorders>
              <w:top w:val="single" w:color="auto" w:sz="4" w:space="0"/>
              <w:left w:val="nil"/>
              <w:bottom w:val="single" w:color="auto" w:sz="4" w:space="0"/>
              <w:right w:val="single" w:color="auto" w:sz="4" w:space="0"/>
            </w:tcBorders>
            <w:vAlign w:val="center"/>
          </w:tcPr>
          <w:p w14:paraId="4A9744B1">
            <w:pPr>
              <w:spacing w:line="360" w:lineRule="auto"/>
              <w:jc w:val="center"/>
              <w:rPr>
                <w:rFonts w:ascii="仿宋" w:hAnsi="仿宋" w:eastAsia="仿宋" w:cs="仿宋"/>
                <w:szCs w:val="21"/>
              </w:rPr>
            </w:pPr>
            <w:r>
              <w:rPr>
                <w:rFonts w:hint="eastAsia" w:ascii="仿宋" w:hAnsi="仿宋" w:eastAsia="仿宋" w:cs="仿宋"/>
                <w:szCs w:val="21"/>
              </w:rPr>
              <w:t>单位</w:t>
            </w:r>
          </w:p>
        </w:tc>
        <w:tc>
          <w:tcPr>
            <w:tcW w:w="1100" w:type="dxa"/>
            <w:tcBorders>
              <w:top w:val="single" w:color="auto" w:sz="4" w:space="0"/>
              <w:left w:val="nil"/>
              <w:bottom w:val="single" w:color="auto" w:sz="4" w:space="0"/>
              <w:right w:val="single" w:color="auto" w:sz="4" w:space="0"/>
            </w:tcBorders>
            <w:vAlign w:val="center"/>
          </w:tcPr>
          <w:p w14:paraId="249121F7">
            <w:pPr>
              <w:spacing w:line="360" w:lineRule="auto"/>
              <w:jc w:val="center"/>
              <w:rPr>
                <w:rFonts w:ascii="仿宋" w:hAnsi="仿宋" w:eastAsia="仿宋" w:cs="仿宋"/>
                <w:szCs w:val="21"/>
              </w:rPr>
            </w:pPr>
            <w:r>
              <w:rPr>
                <w:rFonts w:hint="eastAsia" w:ascii="仿宋" w:hAnsi="仿宋" w:eastAsia="仿宋" w:cs="仿宋"/>
                <w:szCs w:val="21"/>
              </w:rPr>
              <w:t>单价（元）</w:t>
            </w:r>
          </w:p>
        </w:tc>
        <w:tc>
          <w:tcPr>
            <w:tcW w:w="1100" w:type="dxa"/>
            <w:tcBorders>
              <w:top w:val="single" w:color="auto" w:sz="4" w:space="0"/>
              <w:left w:val="nil"/>
              <w:bottom w:val="single" w:color="auto" w:sz="4" w:space="0"/>
              <w:right w:val="single" w:color="auto" w:sz="4" w:space="0"/>
            </w:tcBorders>
            <w:vAlign w:val="center"/>
          </w:tcPr>
          <w:p w14:paraId="64173A6C">
            <w:pPr>
              <w:spacing w:line="360" w:lineRule="auto"/>
              <w:jc w:val="center"/>
              <w:rPr>
                <w:rFonts w:ascii="仿宋" w:hAnsi="仿宋" w:eastAsia="仿宋" w:cs="仿宋"/>
                <w:szCs w:val="21"/>
              </w:rPr>
            </w:pPr>
            <w:r>
              <w:rPr>
                <w:rFonts w:hint="eastAsia" w:ascii="仿宋" w:hAnsi="仿宋" w:eastAsia="仿宋" w:cs="仿宋"/>
                <w:szCs w:val="21"/>
              </w:rPr>
              <w:t>总价（元）</w:t>
            </w:r>
          </w:p>
        </w:tc>
      </w:tr>
      <w:tr w14:paraId="1EB095A0">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14:paraId="675FC77D">
            <w:pPr>
              <w:spacing w:line="360" w:lineRule="auto"/>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tcPr>
          <w:p w14:paraId="75C7C844">
            <w:pPr>
              <w:spacing w:line="360" w:lineRule="auto"/>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tcPr>
          <w:p w14:paraId="70AE20A9">
            <w:pPr>
              <w:spacing w:line="360" w:lineRule="auto"/>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tcPr>
          <w:p w14:paraId="60F647BE">
            <w:pPr>
              <w:spacing w:line="360" w:lineRule="auto"/>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tcPr>
          <w:p w14:paraId="1C22D02B">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tcPr>
          <w:p w14:paraId="3123A799">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tcPr>
          <w:p w14:paraId="4C2A92B6">
            <w:pPr>
              <w:spacing w:line="360" w:lineRule="auto"/>
              <w:rPr>
                <w:rFonts w:ascii="仿宋" w:hAnsi="仿宋" w:eastAsia="仿宋" w:cs="仿宋"/>
                <w:szCs w:val="21"/>
              </w:rPr>
            </w:pPr>
          </w:p>
        </w:tc>
      </w:tr>
      <w:tr w14:paraId="06292D69">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2FF78FCA">
            <w:pPr>
              <w:spacing w:line="360" w:lineRule="auto"/>
              <w:rPr>
                <w:rFonts w:ascii="仿宋" w:hAnsi="仿宋" w:eastAsia="仿宋" w:cs="仿宋"/>
                <w:szCs w:val="21"/>
              </w:rPr>
            </w:pPr>
          </w:p>
        </w:tc>
        <w:tc>
          <w:tcPr>
            <w:tcW w:w="1545" w:type="dxa"/>
            <w:tcBorders>
              <w:top w:val="single" w:color="auto" w:sz="4" w:space="0"/>
              <w:left w:val="nil"/>
              <w:bottom w:val="single" w:color="auto" w:sz="4" w:space="0"/>
              <w:right w:val="single" w:color="auto" w:sz="4" w:space="0"/>
            </w:tcBorders>
            <w:vAlign w:val="center"/>
          </w:tcPr>
          <w:p w14:paraId="681FBB93">
            <w:pPr>
              <w:spacing w:line="360" w:lineRule="auto"/>
              <w:rPr>
                <w:rFonts w:ascii="仿宋" w:hAnsi="仿宋" w:eastAsia="仿宋" w:cs="仿宋"/>
                <w:szCs w:val="21"/>
              </w:rPr>
            </w:pPr>
          </w:p>
        </w:tc>
        <w:tc>
          <w:tcPr>
            <w:tcW w:w="1440" w:type="dxa"/>
            <w:tcBorders>
              <w:top w:val="single" w:color="auto" w:sz="4" w:space="0"/>
              <w:left w:val="nil"/>
              <w:bottom w:val="single" w:color="auto" w:sz="4" w:space="0"/>
              <w:right w:val="single" w:color="auto" w:sz="4" w:space="0"/>
            </w:tcBorders>
            <w:vAlign w:val="center"/>
          </w:tcPr>
          <w:p w14:paraId="55EB9272">
            <w:pPr>
              <w:spacing w:line="360" w:lineRule="auto"/>
              <w:rPr>
                <w:rFonts w:ascii="仿宋" w:hAnsi="仿宋" w:eastAsia="仿宋" w:cs="仿宋"/>
                <w:szCs w:val="21"/>
              </w:rPr>
            </w:pPr>
          </w:p>
        </w:tc>
        <w:tc>
          <w:tcPr>
            <w:tcW w:w="810" w:type="dxa"/>
            <w:tcBorders>
              <w:top w:val="single" w:color="auto" w:sz="4" w:space="0"/>
              <w:left w:val="nil"/>
              <w:bottom w:val="single" w:color="auto" w:sz="4" w:space="0"/>
              <w:right w:val="single" w:color="auto" w:sz="4" w:space="0"/>
            </w:tcBorders>
            <w:vAlign w:val="center"/>
          </w:tcPr>
          <w:p w14:paraId="37EF1530">
            <w:pPr>
              <w:spacing w:line="360" w:lineRule="auto"/>
              <w:rPr>
                <w:rFonts w:ascii="仿宋" w:hAnsi="仿宋" w:eastAsia="仿宋" w:cs="仿宋"/>
                <w:szCs w:val="21"/>
              </w:rPr>
            </w:pPr>
          </w:p>
        </w:tc>
        <w:tc>
          <w:tcPr>
            <w:tcW w:w="700" w:type="dxa"/>
            <w:tcBorders>
              <w:top w:val="single" w:color="auto" w:sz="4" w:space="0"/>
              <w:left w:val="nil"/>
              <w:bottom w:val="single" w:color="auto" w:sz="4" w:space="0"/>
              <w:right w:val="single" w:color="auto" w:sz="4" w:space="0"/>
            </w:tcBorders>
            <w:vAlign w:val="center"/>
          </w:tcPr>
          <w:p w14:paraId="374D836A">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vAlign w:val="center"/>
          </w:tcPr>
          <w:p w14:paraId="2CC259F4">
            <w:pPr>
              <w:spacing w:line="360" w:lineRule="auto"/>
              <w:rPr>
                <w:rFonts w:ascii="仿宋" w:hAnsi="仿宋" w:eastAsia="仿宋" w:cs="仿宋"/>
                <w:szCs w:val="21"/>
              </w:rPr>
            </w:pPr>
          </w:p>
        </w:tc>
        <w:tc>
          <w:tcPr>
            <w:tcW w:w="1100" w:type="dxa"/>
            <w:tcBorders>
              <w:top w:val="single" w:color="auto" w:sz="4" w:space="0"/>
              <w:left w:val="nil"/>
              <w:bottom w:val="single" w:color="auto" w:sz="4" w:space="0"/>
              <w:right w:val="single" w:color="auto" w:sz="4" w:space="0"/>
            </w:tcBorders>
            <w:vAlign w:val="center"/>
          </w:tcPr>
          <w:p w14:paraId="03DB0669">
            <w:pPr>
              <w:spacing w:line="360" w:lineRule="auto"/>
              <w:rPr>
                <w:rFonts w:ascii="仿宋" w:hAnsi="仿宋" w:eastAsia="仿宋" w:cs="仿宋"/>
                <w:szCs w:val="21"/>
              </w:rPr>
            </w:pPr>
          </w:p>
        </w:tc>
      </w:tr>
      <w:tr w14:paraId="4533530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vAlign w:val="center"/>
          </w:tcPr>
          <w:p w14:paraId="4C2BDD88">
            <w:pPr>
              <w:spacing w:line="360" w:lineRule="auto"/>
              <w:rPr>
                <w:rFonts w:ascii="仿宋" w:hAnsi="仿宋" w:eastAsia="仿宋" w:cs="仿宋"/>
                <w:szCs w:val="21"/>
              </w:rPr>
            </w:pPr>
            <w:r>
              <w:rPr>
                <w:rFonts w:hint="eastAsia" w:ascii="仿宋" w:hAnsi="仿宋" w:eastAsia="仿宋" w:cs="仿宋"/>
                <w:szCs w:val="21"/>
              </w:rPr>
              <w:t>合计金额（大写）：</w:t>
            </w:r>
          </w:p>
        </w:tc>
        <w:tc>
          <w:tcPr>
            <w:tcW w:w="1100" w:type="dxa"/>
            <w:tcBorders>
              <w:top w:val="single" w:color="auto" w:sz="4" w:space="0"/>
              <w:left w:val="nil"/>
              <w:bottom w:val="single" w:color="auto" w:sz="4" w:space="0"/>
              <w:right w:val="single" w:color="auto" w:sz="4" w:space="0"/>
            </w:tcBorders>
            <w:vAlign w:val="center"/>
          </w:tcPr>
          <w:p w14:paraId="4671591D">
            <w:pPr>
              <w:spacing w:line="360" w:lineRule="auto"/>
              <w:rPr>
                <w:rFonts w:ascii="仿宋" w:hAnsi="仿宋" w:eastAsia="仿宋" w:cs="仿宋"/>
                <w:szCs w:val="21"/>
              </w:rPr>
            </w:pPr>
            <w:r>
              <w:rPr>
                <w:rFonts w:hint="eastAsia" w:ascii="仿宋" w:hAnsi="仿宋" w:eastAsia="仿宋" w:cs="仿宋"/>
                <w:szCs w:val="21"/>
              </w:rPr>
              <w:t>合计（元）</w:t>
            </w:r>
          </w:p>
        </w:tc>
        <w:tc>
          <w:tcPr>
            <w:tcW w:w="1100" w:type="dxa"/>
            <w:tcBorders>
              <w:top w:val="single" w:color="auto" w:sz="4" w:space="0"/>
              <w:left w:val="nil"/>
              <w:bottom w:val="single" w:color="auto" w:sz="4" w:space="0"/>
              <w:right w:val="single" w:color="auto" w:sz="4" w:space="0"/>
            </w:tcBorders>
            <w:vAlign w:val="center"/>
          </w:tcPr>
          <w:p w14:paraId="796FA406">
            <w:pPr>
              <w:spacing w:line="360" w:lineRule="auto"/>
              <w:rPr>
                <w:rFonts w:ascii="仿宋" w:hAnsi="仿宋" w:eastAsia="仿宋" w:cs="仿宋"/>
                <w:szCs w:val="21"/>
              </w:rPr>
            </w:pPr>
            <w:r>
              <w:rPr>
                <w:rFonts w:hint="eastAsia" w:ascii="仿宋" w:hAnsi="仿宋" w:eastAsia="仿宋" w:cs="仿宋"/>
                <w:szCs w:val="21"/>
              </w:rPr>
              <w:t>小写</w:t>
            </w:r>
          </w:p>
        </w:tc>
      </w:tr>
    </w:tbl>
    <w:p w14:paraId="1DA3F4C7">
      <w:pPr>
        <w:spacing w:line="360" w:lineRule="auto"/>
        <w:ind w:firstLine="420" w:firstLineChars="200"/>
        <w:rPr>
          <w:rFonts w:ascii="仿宋" w:hAnsi="仿宋" w:eastAsia="仿宋" w:cs="仿宋"/>
          <w:szCs w:val="21"/>
        </w:rPr>
      </w:pPr>
      <w:r>
        <w:rPr>
          <w:rFonts w:hint="eastAsia" w:ascii="仿宋" w:hAnsi="仿宋" w:eastAsia="仿宋" w:cs="仿宋"/>
          <w:szCs w:val="21"/>
        </w:rPr>
        <w:t>2、合同总额：</w:t>
      </w:r>
      <w:r>
        <w:rPr>
          <w:rFonts w:hint="eastAsia" w:ascii="仿宋" w:hAnsi="仿宋" w:eastAsia="仿宋" w:cs="仿宋"/>
          <w:szCs w:val="21"/>
          <w:u w:val="single"/>
        </w:rPr>
        <w:t xml:space="preserve">    </w:t>
      </w:r>
      <w:r>
        <w:rPr>
          <w:rFonts w:hint="eastAsia" w:ascii="仿宋" w:hAnsi="仿宋" w:eastAsia="仿宋" w:cs="仿宋"/>
          <w:szCs w:val="21"/>
        </w:rPr>
        <w:t>元，是指货物到达西安石油大学指定地点、完成验收后的价格，其中已包含货物价格、包装运杂费（含保险）、工程费、安装调试费、税金等全部费用。</w:t>
      </w:r>
    </w:p>
    <w:p w14:paraId="52F7EBD3">
      <w:pPr>
        <w:spacing w:line="360" w:lineRule="auto"/>
        <w:ind w:firstLine="420" w:firstLineChars="200"/>
        <w:rPr>
          <w:rFonts w:ascii="仿宋" w:hAnsi="仿宋" w:eastAsia="仿宋" w:cs="仿宋"/>
          <w:szCs w:val="21"/>
        </w:rPr>
      </w:pPr>
      <w:r>
        <w:rPr>
          <w:rFonts w:hint="eastAsia" w:ascii="仿宋" w:hAnsi="仿宋" w:eastAsia="仿宋" w:cs="仿宋"/>
          <w:szCs w:val="21"/>
        </w:rPr>
        <w:t>3、合同总额为一次性包死价格，不受市场价格的变化和影响，在合同不发生变更时作为付款结算的依据。</w:t>
      </w:r>
    </w:p>
    <w:p w14:paraId="482ECBC6">
      <w:pPr>
        <w:ind w:firstLine="361" w:firstLineChars="150"/>
        <w:rPr>
          <w:rFonts w:ascii="仿宋" w:hAnsi="仿宋" w:eastAsia="仿宋" w:cs="仿宋"/>
          <w:sz w:val="28"/>
          <w:szCs w:val="28"/>
        </w:rPr>
      </w:pPr>
      <w:r>
        <w:rPr>
          <w:rFonts w:hint="eastAsia" w:ascii="仿宋" w:hAnsi="仿宋" w:eastAsia="仿宋" w:cs="仿宋"/>
          <w:b/>
          <w:bCs/>
          <w:sz w:val="24"/>
        </w:rPr>
        <w:t>二、产品质量</w:t>
      </w:r>
    </w:p>
    <w:p w14:paraId="0904468F">
      <w:pPr>
        <w:spacing w:line="360" w:lineRule="auto"/>
        <w:ind w:firstLine="420" w:firstLineChars="200"/>
        <w:rPr>
          <w:rFonts w:ascii="仿宋" w:hAnsi="仿宋" w:eastAsia="仿宋" w:cs="仿宋"/>
          <w:szCs w:val="21"/>
        </w:rPr>
      </w:pPr>
      <w:r>
        <w:rPr>
          <w:rFonts w:hint="eastAsia" w:ascii="仿宋" w:hAnsi="仿宋" w:eastAsia="仿宋" w:cs="仿宋"/>
          <w:szCs w:val="21"/>
        </w:rPr>
        <w:t>1、乙方提供的货物及配套产品，必须是合同规定厂家制造的、合格、全新、未曾使用的、且经过国家质检部门检验，并颁发了产品准销证的产品。</w:t>
      </w:r>
    </w:p>
    <w:p w14:paraId="700F723F">
      <w:pPr>
        <w:spacing w:line="360" w:lineRule="auto"/>
        <w:ind w:firstLine="420" w:firstLineChars="200"/>
        <w:rPr>
          <w:rFonts w:ascii="仿宋" w:hAnsi="仿宋" w:eastAsia="仿宋" w:cs="仿宋"/>
          <w:szCs w:val="21"/>
        </w:rPr>
      </w:pPr>
      <w:r>
        <w:rPr>
          <w:rFonts w:hint="eastAsia" w:ascii="仿宋" w:hAnsi="仿宋" w:eastAsia="仿宋" w:cs="仿宋"/>
          <w:szCs w:val="21"/>
        </w:rPr>
        <w:t>2、乙方提供的货物及配套产品必须等同于或优于合同技术指标要求，并能按国家标准或行业标准供应、检测、调试，确保产品技术指标满足使用要求。</w:t>
      </w:r>
    </w:p>
    <w:p w14:paraId="19D150A3">
      <w:pPr>
        <w:spacing w:line="360" w:lineRule="auto"/>
        <w:ind w:firstLine="420" w:firstLineChars="200"/>
        <w:rPr>
          <w:rFonts w:ascii="仿宋" w:hAnsi="仿宋" w:eastAsia="仿宋" w:cs="仿宋"/>
          <w:szCs w:val="21"/>
        </w:rPr>
      </w:pPr>
      <w:r>
        <w:rPr>
          <w:rFonts w:hint="eastAsia" w:ascii="仿宋" w:hAnsi="仿宋" w:eastAsia="仿宋" w:cs="仿宋"/>
          <w:szCs w:val="21"/>
        </w:rPr>
        <w:t>3、安全可靠。有强制性安全标准的产品，乙方应提供该产品的制造许可证证明，在正常使用下不应对他人及环境造成伤害，如因产品质量或标示不明确造成损失的，由乙方完全负责，甲方保留依法索赔的权利。</w:t>
      </w:r>
    </w:p>
    <w:p w14:paraId="632FDA70">
      <w:pPr>
        <w:spacing w:line="360" w:lineRule="auto"/>
        <w:ind w:firstLine="420" w:firstLineChars="200"/>
        <w:rPr>
          <w:rFonts w:ascii="仿宋" w:hAnsi="仿宋" w:eastAsia="仿宋" w:cs="仿宋"/>
        </w:rPr>
      </w:pPr>
      <w:r>
        <w:rPr>
          <w:rFonts w:hint="eastAsia" w:ascii="仿宋" w:hAnsi="仿宋" w:eastAsia="仿宋" w:cs="仿宋"/>
          <w:szCs w:val="21"/>
        </w:rPr>
        <w:t>4、设计技术专利、外型专利、应用软件专利等均应符合我国的有关法律及行业标准，凡因以上问题与第三方发生的任何纠纷均与甲方无关。</w:t>
      </w:r>
    </w:p>
    <w:p w14:paraId="13585110">
      <w:pPr>
        <w:spacing w:line="360" w:lineRule="auto"/>
        <w:ind w:firstLine="420"/>
        <w:rPr>
          <w:rFonts w:ascii="仿宋" w:hAnsi="仿宋" w:eastAsia="仿宋" w:cs="仿宋"/>
          <w:szCs w:val="21"/>
        </w:rPr>
      </w:pPr>
      <w:r>
        <w:rPr>
          <w:rFonts w:hint="eastAsia" w:ascii="仿宋" w:hAnsi="仿宋" w:eastAsia="仿宋" w:cs="仿宋"/>
          <w:szCs w:val="21"/>
        </w:rPr>
        <w:t>5、产品质量保证期为货物验收合格后</w:t>
      </w:r>
      <w:r>
        <w:rPr>
          <w:rFonts w:hint="eastAsia" w:ascii="仿宋" w:hAnsi="仿宋" w:eastAsia="仿宋" w:cs="仿宋"/>
          <w:szCs w:val="21"/>
          <w:u w:val="single"/>
        </w:rPr>
        <w:t xml:space="preserve">   </w:t>
      </w:r>
      <w:r>
        <w:rPr>
          <w:rFonts w:hint="eastAsia" w:ascii="仿宋" w:hAnsi="仿宋" w:eastAsia="仿宋" w:cs="仿宋"/>
          <w:szCs w:val="21"/>
        </w:rPr>
        <w:t>年。质保期内，乙方对所供货物免费进行质保和服务。</w:t>
      </w:r>
    </w:p>
    <w:p w14:paraId="0AB56F97">
      <w:pPr>
        <w:ind w:firstLine="241" w:firstLineChars="100"/>
        <w:rPr>
          <w:rFonts w:ascii="仿宋" w:hAnsi="仿宋" w:eastAsia="仿宋" w:cs="仿宋"/>
          <w:b/>
          <w:bCs/>
          <w:sz w:val="24"/>
        </w:rPr>
      </w:pPr>
      <w:r>
        <w:rPr>
          <w:rFonts w:hint="eastAsia" w:ascii="仿宋" w:hAnsi="仿宋" w:eastAsia="仿宋" w:cs="仿宋"/>
          <w:b/>
          <w:bCs/>
          <w:sz w:val="24"/>
        </w:rPr>
        <w:t>三、产品包装要求及运输方式</w:t>
      </w:r>
    </w:p>
    <w:p w14:paraId="29BCAE69">
      <w:pPr>
        <w:pStyle w:val="9"/>
        <w:spacing w:line="360" w:lineRule="auto"/>
        <w:ind w:firstLine="420" w:firstLineChars="200"/>
        <w:rPr>
          <w:rFonts w:hint="default" w:ascii="仿宋" w:hAnsi="仿宋" w:eastAsia="仿宋" w:cs="仿宋"/>
          <w:kern w:val="2"/>
          <w:sz w:val="21"/>
          <w:szCs w:val="21"/>
          <w:lang w:eastAsia="zh-CN"/>
        </w:rPr>
      </w:pPr>
      <w:r>
        <w:rPr>
          <w:rFonts w:ascii="仿宋" w:hAnsi="仿宋" w:eastAsia="仿宋" w:cs="仿宋"/>
          <w:kern w:val="2"/>
          <w:sz w:val="21"/>
          <w:szCs w:val="21"/>
          <w:lang w:eastAsia="zh-CN"/>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14:paraId="7352C7B1">
      <w:pPr>
        <w:spacing w:line="360" w:lineRule="auto"/>
        <w:ind w:firstLine="361" w:firstLineChars="150"/>
        <w:rPr>
          <w:rFonts w:ascii="仿宋" w:hAnsi="仿宋" w:eastAsia="仿宋" w:cs="仿宋"/>
          <w:b/>
          <w:bCs/>
          <w:sz w:val="24"/>
        </w:rPr>
      </w:pPr>
      <w:r>
        <w:rPr>
          <w:rFonts w:hint="eastAsia" w:ascii="仿宋" w:hAnsi="仿宋" w:eastAsia="仿宋" w:cs="仿宋"/>
          <w:b/>
          <w:bCs/>
          <w:sz w:val="24"/>
        </w:rPr>
        <w:t>四、交货时间地点及方式</w:t>
      </w:r>
    </w:p>
    <w:p w14:paraId="1CA43387">
      <w:pPr>
        <w:spacing w:line="360" w:lineRule="auto"/>
        <w:ind w:firstLine="315" w:firstLineChars="150"/>
        <w:rPr>
          <w:rFonts w:ascii="仿宋" w:hAnsi="仿宋" w:eastAsia="仿宋" w:cs="仿宋"/>
          <w:szCs w:val="21"/>
        </w:rPr>
      </w:pPr>
      <w:r>
        <w:rPr>
          <w:rFonts w:hint="eastAsia" w:ascii="仿宋" w:hAnsi="仿宋" w:eastAsia="仿宋" w:cs="仿宋"/>
          <w:szCs w:val="21"/>
        </w:rPr>
        <w:t>乙方于合同签订后×天内完成货物安装调试并交付使用。安装地点：西安石油大学指定地点，所有产生费用乙方负责。甲方联系人：××，乙方联系人：××。</w:t>
      </w:r>
    </w:p>
    <w:p w14:paraId="2D2BAA6B">
      <w:pPr>
        <w:spacing w:line="360" w:lineRule="auto"/>
        <w:ind w:firstLine="241" w:firstLineChars="100"/>
        <w:rPr>
          <w:rFonts w:ascii="仿宋" w:hAnsi="仿宋" w:eastAsia="仿宋" w:cs="仿宋"/>
          <w:b/>
          <w:bCs/>
          <w:sz w:val="24"/>
        </w:rPr>
      </w:pPr>
      <w:r>
        <w:rPr>
          <w:rFonts w:hint="eastAsia" w:ascii="仿宋" w:hAnsi="仿宋" w:eastAsia="仿宋" w:cs="仿宋"/>
          <w:b/>
          <w:bCs/>
          <w:sz w:val="24"/>
        </w:rPr>
        <w:t>五、设备的安装、调试及验收</w:t>
      </w:r>
    </w:p>
    <w:p w14:paraId="1950FAC3">
      <w:pPr>
        <w:spacing w:line="360" w:lineRule="auto"/>
        <w:ind w:firstLine="315" w:firstLineChars="150"/>
        <w:rPr>
          <w:rFonts w:ascii="仿宋" w:hAnsi="仿宋" w:eastAsia="仿宋" w:cs="仿宋"/>
          <w:szCs w:val="21"/>
        </w:rPr>
      </w:pPr>
      <w:r>
        <w:rPr>
          <w:rFonts w:hint="eastAsia" w:ascii="仿宋" w:hAnsi="仿宋" w:eastAsia="仿宋" w:cs="仿宋"/>
          <w:szCs w:val="21"/>
        </w:rPr>
        <w:t>1、甲方和乙方应在现场安装设备前，共同确认所有设备是否符合招标要求。乙方负责安装调试，甲方提供必要的工作条件，安装调试所有费用乙方负责。</w:t>
      </w:r>
    </w:p>
    <w:p w14:paraId="6594D51E">
      <w:pPr>
        <w:spacing w:line="360" w:lineRule="auto"/>
        <w:ind w:firstLine="315" w:firstLineChars="150"/>
        <w:rPr>
          <w:rFonts w:ascii="仿宋" w:hAnsi="仿宋" w:eastAsia="仿宋" w:cs="仿宋"/>
          <w:szCs w:val="21"/>
        </w:rPr>
      </w:pPr>
      <w:r>
        <w:rPr>
          <w:rFonts w:hint="eastAsia" w:ascii="仿宋" w:hAnsi="仿宋" w:eastAsia="仿宋" w:cs="仿宋"/>
          <w:szCs w:val="21"/>
        </w:rPr>
        <w:t>2、甲方对乙方所交产品依照本合同和相关技术合同进行现场验收。验收不合格的，限期整改；整改仍达不到要求的，按本合同第八条第3款处理。</w:t>
      </w:r>
    </w:p>
    <w:p w14:paraId="05B5B982">
      <w:pPr>
        <w:ind w:firstLine="361" w:firstLineChars="150"/>
        <w:rPr>
          <w:rFonts w:ascii="仿宋" w:hAnsi="仿宋" w:eastAsia="仿宋" w:cs="仿宋"/>
          <w:b/>
          <w:bCs/>
          <w:sz w:val="24"/>
        </w:rPr>
      </w:pPr>
      <w:r>
        <w:rPr>
          <w:rFonts w:hint="eastAsia" w:ascii="仿宋" w:hAnsi="仿宋" w:eastAsia="仿宋" w:cs="仿宋"/>
          <w:b/>
          <w:bCs/>
          <w:sz w:val="24"/>
        </w:rPr>
        <w:t>六、质保期及售后服务</w:t>
      </w:r>
    </w:p>
    <w:p w14:paraId="30CD3530">
      <w:pPr>
        <w:spacing w:line="360" w:lineRule="auto"/>
        <w:ind w:firstLine="315" w:firstLineChars="150"/>
        <w:rPr>
          <w:rFonts w:ascii="仿宋" w:hAnsi="仿宋" w:eastAsia="仿宋" w:cs="仿宋"/>
          <w:szCs w:val="21"/>
        </w:rPr>
      </w:pPr>
      <w:r>
        <w:rPr>
          <w:rFonts w:hint="eastAsia" w:ascii="仿宋" w:hAnsi="仿宋" w:eastAsia="仿宋" w:cs="仿宋"/>
          <w:szCs w:val="21"/>
        </w:rPr>
        <w:t>1、乙方提供的设备质保期限X年（从安装完成经甲方验收合格之日算起）,终身维护。质保期内乙方接到甲方反映电话后，7*24 即时响应（包括电话响应）；电话响应无法解决时，24小时内到达现场。修复时间48小时内；如48小时内无法修复，乙方应向甲方提供同类新产品替代，以保证甲方的正常使用。质保期外，乙方只收取材料费。</w:t>
      </w:r>
    </w:p>
    <w:p w14:paraId="127189DC">
      <w:pPr>
        <w:spacing w:line="360" w:lineRule="auto"/>
        <w:ind w:firstLine="315" w:firstLineChars="150"/>
        <w:rPr>
          <w:rFonts w:ascii="仿宋" w:hAnsi="仿宋" w:eastAsia="仿宋" w:cs="仿宋"/>
          <w:szCs w:val="21"/>
        </w:rPr>
      </w:pPr>
      <w:r>
        <w:rPr>
          <w:rFonts w:hint="eastAsia" w:ascii="仿宋" w:hAnsi="仿宋" w:eastAsia="仿宋" w:cs="仿宋"/>
          <w:szCs w:val="21"/>
        </w:rPr>
        <w:t>2、安装调试后，乙方免费为甲方提供现场操作培训，通过培训使用户人员了解设备工作原理，熟悉设备的安装及使用、维护方法，掌握各种设备的初始化及故障诊断、定位和排除技能。</w:t>
      </w:r>
    </w:p>
    <w:p w14:paraId="7200B354">
      <w:pPr>
        <w:spacing w:line="360" w:lineRule="auto"/>
        <w:ind w:firstLine="315" w:firstLineChars="150"/>
        <w:rPr>
          <w:rFonts w:ascii="仿宋" w:hAnsi="仿宋" w:eastAsia="仿宋" w:cs="仿宋"/>
          <w:szCs w:val="21"/>
        </w:rPr>
      </w:pPr>
      <w:r>
        <w:rPr>
          <w:rFonts w:hint="eastAsia" w:ascii="仿宋" w:hAnsi="仿宋" w:eastAsia="仿宋" w:cs="仿宋"/>
          <w:szCs w:val="21"/>
        </w:rPr>
        <w:t>3、设备正式运行后，定期回访用户，当系统出现重大缺陷问题而影响到甲方实际应用时需及时响应并派人到现场解决。</w:t>
      </w:r>
    </w:p>
    <w:p w14:paraId="031301F3">
      <w:pPr>
        <w:spacing w:line="360" w:lineRule="auto"/>
        <w:ind w:firstLine="315" w:firstLineChars="150"/>
        <w:rPr>
          <w:rFonts w:ascii="仿宋" w:hAnsi="仿宋" w:eastAsia="仿宋" w:cs="仿宋"/>
          <w:szCs w:val="21"/>
        </w:rPr>
      </w:pPr>
      <w:r>
        <w:rPr>
          <w:rFonts w:hint="eastAsia" w:ascii="仿宋" w:hAnsi="仿宋" w:eastAsia="仿宋" w:cs="仿宋"/>
          <w:szCs w:val="21"/>
        </w:rPr>
        <w:t>乙方售后服务及维修专线：××××××。</w:t>
      </w:r>
    </w:p>
    <w:p w14:paraId="46F8B415">
      <w:pPr>
        <w:spacing w:line="360" w:lineRule="auto"/>
        <w:ind w:firstLine="361" w:firstLineChars="150"/>
        <w:rPr>
          <w:rFonts w:ascii="仿宋" w:hAnsi="仿宋" w:eastAsia="仿宋" w:cs="仿宋"/>
          <w:b/>
          <w:bCs/>
          <w:sz w:val="24"/>
        </w:rPr>
      </w:pPr>
      <w:r>
        <w:rPr>
          <w:rFonts w:hint="eastAsia" w:ascii="仿宋" w:hAnsi="仿宋" w:eastAsia="仿宋" w:cs="仿宋"/>
          <w:b/>
          <w:bCs/>
          <w:sz w:val="24"/>
        </w:rPr>
        <w:t>七、付款时间及付款方式</w:t>
      </w:r>
    </w:p>
    <w:p w14:paraId="37386A61">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1、履约保证金</w:t>
      </w:r>
    </w:p>
    <w:p w14:paraId="607C90ED">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1.1合同签订前，乙方须向甲方提交合同总价的</w:t>
      </w:r>
      <w:r>
        <w:rPr>
          <w:rFonts w:hint="eastAsia" w:ascii="仿宋" w:hAnsi="仿宋" w:eastAsia="仿宋" w:cs="仿宋"/>
          <w:szCs w:val="21"/>
          <w:u w:val="single"/>
        </w:rPr>
        <w:t>5</w:t>
      </w:r>
      <w:r>
        <w:rPr>
          <w:rFonts w:hint="eastAsia" w:ascii="仿宋" w:hAnsi="仿宋" w:eastAsia="仿宋" w:cs="仿宋"/>
          <w:szCs w:val="21"/>
        </w:rPr>
        <w:t>%作为履约保证金；</w:t>
      </w:r>
    </w:p>
    <w:p w14:paraId="59249421">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1.2履约保证金应使用人民币，按</w:t>
      </w:r>
      <w:r>
        <w:rPr>
          <w:rFonts w:hint="eastAsia" w:ascii="仿宋" w:hAnsi="仿宋" w:eastAsia="仿宋" w:cs="仿宋"/>
          <w:szCs w:val="21"/>
          <w:u w:val="single"/>
        </w:rPr>
        <w:t xml:space="preserve">   汇款或现金   </w:t>
      </w:r>
      <w:r>
        <w:rPr>
          <w:rFonts w:hint="eastAsia" w:ascii="仿宋" w:hAnsi="仿宋" w:eastAsia="仿宋" w:cs="仿宋"/>
          <w:szCs w:val="21"/>
        </w:rPr>
        <w:t xml:space="preserve"> 方式提交；</w:t>
      </w:r>
    </w:p>
    <w:p w14:paraId="0FCABDC0">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1.3设备到货并由甲方验收合格后，乙方申请，甲方应把履约保证金（无息）退还乙方。</w:t>
      </w:r>
    </w:p>
    <w:p w14:paraId="06A573BB">
      <w:pPr>
        <w:numPr>
          <w:ilvl w:val="0"/>
          <w:numId w:val="1"/>
        </w:num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合同款支付</w:t>
      </w:r>
    </w:p>
    <w:p w14:paraId="68E9F1F0">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合同签订后，供应商开具合同金额等额银行保函，采购人收到银行保函正本后，一次性付清合同货款，待货物到达指定地点、安装调试验收合格后，采购人退还银行保函正本。</w:t>
      </w:r>
    </w:p>
    <w:p w14:paraId="406D0F8B">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3.最终结算时，乙方须向甲方出具合同总价款的增值税专用发票。</w:t>
      </w:r>
    </w:p>
    <w:p w14:paraId="1E28588E">
      <w:pPr>
        <w:ind w:firstLine="361" w:firstLineChars="150"/>
        <w:rPr>
          <w:rFonts w:ascii="仿宋" w:hAnsi="仿宋" w:eastAsia="仿宋" w:cs="仿宋"/>
          <w:b/>
          <w:bCs/>
          <w:sz w:val="24"/>
        </w:rPr>
      </w:pPr>
      <w:r>
        <w:rPr>
          <w:rFonts w:hint="eastAsia" w:ascii="仿宋" w:hAnsi="仿宋" w:eastAsia="仿宋" w:cs="仿宋"/>
          <w:b/>
          <w:bCs/>
          <w:sz w:val="24"/>
        </w:rPr>
        <w:t>八、违约责任</w:t>
      </w:r>
    </w:p>
    <w:p w14:paraId="6884413C">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1、合同生效后，甲乙双方应按合同规定认真履约。合同履约责任只涉及合同甲乙双方，不考虑第三方因素。</w:t>
      </w:r>
    </w:p>
    <w:p w14:paraId="33D31B52">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2、除不可抗力原因外，如遇下列情况之一者，乙方所缴纳的履约保证金甲方有权不予退还，作为对甲方的赔偿，且甲方有权解除本合同：（1）合同签订后不能按合同时限要求供货或安装调试；（2）所供设备不合格、与合同不符；（3）不能按合同履约；（4）因产品质量原因，不能通过验收。</w:t>
      </w:r>
    </w:p>
    <w:p w14:paraId="3ED3CAF8">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3、如乙方产品质量不符合国家标准、行业内控标准或本合同技术附件要求的，甲方有权退货，乙方应退还全部货款，并承担甲方合同总价款10％的违约金及其他损失。</w:t>
      </w:r>
    </w:p>
    <w:p w14:paraId="08218027">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4、在合同规定的供货期内乙方未全部交货，除应如数补齐外，还应承担合同总款的10％违约金。</w:t>
      </w:r>
    </w:p>
    <w:p w14:paraId="49E77C3D">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5、乙方对货物不按招标文件要求，擅自更换，除恢复原招标产品外，应承担更换部分价款10%的违约金；乙方如对产品材质、随机配品以次充好，除全部按要求恢复外，应承担此部分价款10%的违约金。</w:t>
      </w:r>
    </w:p>
    <w:p w14:paraId="0E1BEDFC">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6、除不可抗力因素外，乙方对所供产品出现的问题推诿、拖延，24小时未作出服务响应且乙方没有按照合同规定的时间交货和提供服务，甲方可要求乙方支付违约金。违约金每日按合同总价款的5‰计收。否则，甲方有权拒绝乙方以后参加学校竞标。</w:t>
      </w:r>
    </w:p>
    <w:p w14:paraId="3E69576C">
      <w:pPr>
        <w:snapToGrid w:val="0"/>
        <w:spacing w:line="360" w:lineRule="auto"/>
        <w:ind w:firstLine="420" w:firstLineChars="200"/>
        <w:rPr>
          <w:rFonts w:ascii="仿宋" w:hAnsi="仿宋" w:eastAsia="仿宋" w:cs="仿宋"/>
          <w:szCs w:val="21"/>
        </w:rPr>
      </w:pPr>
      <w:r>
        <w:rPr>
          <w:rFonts w:hint="eastAsia" w:ascii="仿宋" w:hAnsi="仿宋" w:eastAsia="仿宋" w:cs="仿宋"/>
          <w:szCs w:val="21"/>
        </w:rPr>
        <w:t>7、合同履约过程中，甲方应积极配合乙方进行设备验收以及验收前的外围配套等工作。否则，因此导致设备不能按期验收时，不能追究乙方责任；正常情况下应在设备验收合格后15天内按规定向乙方付款，最长时间不能超过30天。否则，每超过一周应向乙方支付合同应付款5‰的滞纳金。</w:t>
      </w:r>
    </w:p>
    <w:p w14:paraId="61E14886">
      <w:pPr>
        <w:ind w:firstLine="361" w:firstLineChars="150"/>
        <w:rPr>
          <w:rFonts w:ascii="仿宋" w:hAnsi="仿宋" w:eastAsia="仿宋" w:cs="仿宋"/>
          <w:sz w:val="28"/>
          <w:szCs w:val="28"/>
        </w:rPr>
      </w:pPr>
      <w:r>
        <w:rPr>
          <w:rFonts w:hint="eastAsia" w:ascii="仿宋" w:hAnsi="仿宋" w:eastAsia="仿宋" w:cs="仿宋"/>
          <w:b/>
          <w:bCs/>
          <w:sz w:val="24"/>
        </w:rPr>
        <w:t>九、解决合同纠纷方式：双方友好协商解决，协商未果由西安市仲裁委员会仲裁。</w:t>
      </w:r>
    </w:p>
    <w:p w14:paraId="2D112C01">
      <w:pPr>
        <w:ind w:firstLine="361" w:firstLineChars="150"/>
        <w:rPr>
          <w:rFonts w:ascii="仿宋" w:hAnsi="仿宋" w:eastAsia="仿宋" w:cs="仿宋"/>
          <w:b/>
          <w:bCs/>
          <w:sz w:val="24"/>
        </w:rPr>
      </w:pPr>
      <w:r>
        <w:rPr>
          <w:rFonts w:hint="eastAsia" w:ascii="仿宋" w:hAnsi="仿宋" w:eastAsia="仿宋" w:cs="仿宋"/>
          <w:b/>
          <w:bCs/>
          <w:sz w:val="24"/>
        </w:rPr>
        <w:t>十、其它事项</w:t>
      </w:r>
    </w:p>
    <w:p w14:paraId="5F9E24C5">
      <w:pPr>
        <w:spacing w:line="360" w:lineRule="auto"/>
        <w:ind w:firstLine="315" w:firstLineChars="150"/>
        <w:rPr>
          <w:rFonts w:ascii="仿宋" w:hAnsi="仿宋" w:eastAsia="仿宋" w:cs="仿宋"/>
          <w:szCs w:val="21"/>
        </w:rPr>
      </w:pPr>
      <w:r>
        <w:rPr>
          <w:rFonts w:hint="eastAsia" w:ascii="仿宋" w:hAnsi="仿宋" w:eastAsia="仿宋" w:cs="仿宋"/>
          <w:szCs w:val="21"/>
        </w:rPr>
        <w:t>1、本合同一式七份，甲方五份，乙方一份，代理机构一份，经甲、乙双方签字盖章后生效，具有同等法律效力。</w:t>
      </w:r>
    </w:p>
    <w:p w14:paraId="191B0E22">
      <w:pPr>
        <w:spacing w:line="360" w:lineRule="auto"/>
        <w:ind w:firstLine="315" w:firstLineChars="150"/>
        <w:rPr>
          <w:rFonts w:ascii="仿宋" w:hAnsi="仿宋" w:eastAsia="仿宋" w:cs="仿宋"/>
          <w:szCs w:val="21"/>
        </w:rPr>
      </w:pPr>
      <w:r>
        <w:rPr>
          <w:rFonts w:hint="eastAsia" w:ascii="仿宋" w:hAnsi="仿宋" w:eastAsia="仿宋" w:cs="仿宋"/>
          <w:szCs w:val="21"/>
        </w:rPr>
        <w:t>2、合同所有附件均为本合同不可分割的组成部分，与本合同具有同等法律效力。</w:t>
      </w:r>
    </w:p>
    <w:p w14:paraId="53A7CF6D">
      <w:pPr>
        <w:spacing w:line="360" w:lineRule="auto"/>
        <w:ind w:firstLine="315" w:firstLineChars="150"/>
        <w:rPr>
          <w:rFonts w:ascii="仿宋" w:hAnsi="仿宋" w:eastAsia="仿宋" w:cs="仿宋"/>
          <w:szCs w:val="21"/>
        </w:rPr>
      </w:pPr>
      <w:r>
        <w:rPr>
          <w:rFonts w:hint="eastAsia" w:ascii="仿宋" w:hAnsi="仿宋" w:eastAsia="仿宋" w:cs="仿宋"/>
          <w:szCs w:val="21"/>
        </w:rPr>
        <w:t>3、甲方招标文件、乙方投标文件均为本合同不可分割的组成部分，与本合同具有同等法律效力。</w:t>
      </w:r>
    </w:p>
    <w:tbl>
      <w:tblPr>
        <w:tblStyle w:val="6"/>
        <w:tblW w:w="9363" w:type="dxa"/>
        <w:jc w:val="center"/>
        <w:tblLayout w:type="fixed"/>
        <w:tblCellMar>
          <w:top w:w="0" w:type="dxa"/>
          <w:left w:w="108" w:type="dxa"/>
          <w:bottom w:w="0" w:type="dxa"/>
          <w:right w:w="108" w:type="dxa"/>
        </w:tblCellMar>
      </w:tblPr>
      <w:tblGrid>
        <w:gridCol w:w="3780"/>
        <w:gridCol w:w="3088"/>
        <w:gridCol w:w="2495"/>
      </w:tblGrid>
      <w:tr w14:paraId="2F62AAA4">
        <w:tblPrEx>
          <w:tblCellMar>
            <w:top w:w="0" w:type="dxa"/>
            <w:left w:w="108" w:type="dxa"/>
            <w:bottom w:w="0" w:type="dxa"/>
            <w:right w:w="108" w:type="dxa"/>
          </w:tblCellMar>
        </w:tblPrEx>
        <w:trPr>
          <w:jc w:val="center"/>
        </w:trPr>
        <w:tc>
          <w:tcPr>
            <w:tcW w:w="3780" w:type="dxa"/>
            <w:vAlign w:val="center"/>
          </w:tcPr>
          <w:p w14:paraId="148D7672">
            <w:pPr>
              <w:spacing w:line="360" w:lineRule="auto"/>
              <w:ind w:firstLine="315" w:firstLineChars="150"/>
              <w:rPr>
                <w:rFonts w:ascii="仿宋" w:hAnsi="仿宋" w:eastAsia="仿宋" w:cs="仿宋"/>
                <w:szCs w:val="21"/>
              </w:rPr>
            </w:pPr>
            <w:r>
              <w:rPr>
                <w:rFonts w:hint="eastAsia" w:ascii="仿宋" w:hAnsi="仿宋" w:eastAsia="仿宋" w:cs="仿宋"/>
                <w:szCs w:val="21"/>
              </w:rPr>
              <w:t>甲方：西安石油大学（盖章）</w:t>
            </w:r>
          </w:p>
        </w:tc>
        <w:tc>
          <w:tcPr>
            <w:tcW w:w="3088" w:type="dxa"/>
            <w:vAlign w:val="center"/>
          </w:tcPr>
          <w:p w14:paraId="7EC4E572">
            <w:pPr>
              <w:spacing w:line="360" w:lineRule="auto"/>
              <w:ind w:firstLine="315" w:firstLineChars="150"/>
              <w:rPr>
                <w:rFonts w:ascii="仿宋" w:hAnsi="仿宋" w:eastAsia="仿宋" w:cs="仿宋"/>
                <w:szCs w:val="21"/>
              </w:rPr>
            </w:pPr>
            <w:r>
              <w:rPr>
                <w:rFonts w:hint="eastAsia" w:ascii="仿宋" w:hAnsi="仿宋" w:eastAsia="仿宋" w:cs="仿宋"/>
                <w:szCs w:val="21"/>
              </w:rPr>
              <w:t>乙方：××公司（盖章）</w:t>
            </w:r>
          </w:p>
        </w:tc>
        <w:tc>
          <w:tcPr>
            <w:tcW w:w="2495" w:type="dxa"/>
            <w:vMerge w:val="restart"/>
          </w:tcPr>
          <w:p w14:paraId="53EA427E">
            <w:pPr>
              <w:spacing w:line="360" w:lineRule="auto"/>
              <w:rPr>
                <w:rFonts w:ascii="仿宋" w:hAnsi="仿宋" w:eastAsia="仿宋" w:cs="仿宋"/>
                <w:szCs w:val="21"/>
              </w:rPr>
            </w:pPr>
            <w:r>
              <w:rPr>
                <w:rFonts w:hint="eastAsia" w:ascii="仿宋" w:hAnsi="仿宋" w:eastAsia="仿宋" w:cs="仿宋"/>
                <w:szCs w:val="21"/>
              </w:rPr>
              <w:t>见证方：××（盖章）</w:t>
            </w:r>
          </w:p>
        </w:tc>
      </w:tr>
      <w:tr w14:paraId="77C512FD">
        <w:tblPrEx>
          <w:tblCellMar>
            <w:top w:w="0" w:type="dxa"/>
            <w:left w:w="108" w:type="dxa"/>
            <w:bottom w:w="0" w:type="dxa"/>
            <w:right w:w="108" w:type="dxa"/>
          </w:tblCellMar>
        </w:tblPrEx>
        <w:trPr>
          <w:jc w:val="center"/>
        </w:trPr>
        <w:tc>
          <w:tcPr>
            <w:tcW w:w="3780" w:type="dxa"/>
            <w:vAlign w:val="center"/>
          </w:tcPr>
          <w:p w14:paraId="0561DC95">
            <w:pPr>
              <w:spacing w:line="360" w:lineRule="auto"/>
              <w:ind w:firstLine="315" w:firstLineChars="150"/>
              <w:rPr>
                <w:rFonts w:ascii="仿宋" w:hAnsi="仿宋" w:eastAsia="仿宋" w:cs="仿宋"/>
                <w:szCs w:val="21"/>
              </w:rPr>
            </w:pPr>
            <w:r>
              <w:rPr>
                <w:rFonts w:hint="eastAsia" w:ascii="仿宋" w:hAnsi="仿宋" w:eastAsia="仿宋" w:cs="仿宋"/>
                <w:szCs w:val="21"/>
              </w:rPr>
              <w:t>法人或委托代理人：</w:t>
            </w:r>
          </w:p>
        </w:tc>
        <w:tc>
          <w:tcPr>
            <w:tcW w:w="3088" w:type="dxa"/>
            <w:vAlign w:val="center"/>
          </w:tcPr>
          <w:p w14:paraId="0447E395">
            <w:pPr>
              <w:spacing w:line="360" w:lineRule="auto"/>
              <w:ind w:firstLine="315" w:firstLineChars="150"/>
              <w:rPr>
                <w:rFonts w:ascii="仿宋" w:hAnsi="仿宋" w:eastAsia="仿宋" w:cs="仿宋"/>
                <w:szCs w:val="21"/>
              </w:rPr>
            </w:pPr>
            <w:r>
              <w:rPr>
                <w:rFonts w:hint="eastAsia" w:ascii="仿宋" w:hAnsi="仿宋" w:eastAsia="仿宋" w:cs="仿宋"/>
                <w:szCs w:val="21"/>
              </w:rPr>
              <w:t>法人或委托代理人：</w:t>
            </w:r>
          </w:p>
        </w:tc>
        <w:tc>
          <w:tcPr>
            <w:tcW w:w="2495" w:type="dxa"/>
            <w:vMerge w:val="continue"/>
            <w:vAlign w:val="center"/>
          </w:tcPr>
          <w:p w14:paraId="7194E50C">
            <w:pPr>
              <w:spacing w:line="360" w:lineRule="auto"/>
              <w:ind w:firstLine="315" w:firstLineChars="150"/>
              <w:rPr>
                <w:rFonts w:ascii="仿宋" w:hAnsi="仿宋" w:eastAsia="仿宋" w:cs="仿宋"/>
                <w:szCs w:val="21"/>
              </w:rPr>
            </w:pPr>
          </w:p>
        </w:tc>
      </w:tr>
      <w:tr w14:paraId="5185FBBA">
        <w:tblPrEx>
          <w:tblCellMar>
            <w:top w:w="0" w:type="dxa"/>
            <w:left w:w="108" w:type="dxa"/>
            <w:bottom w:w="0" w:type="dxa"/>
            <w:right w:w="108" w:type="dxa"/>
          </w:tblCellMar>
        </w:tblPrEx>
        <w:trPr>
          <w:jc w:val="center"/>
        </w:trPr>
        <w:tc>
          <w:tcPr>
            <w:tcW w:w="3780" w:type="dxa"/>
            <w:vAlign w:val="center"/>
          </w:tcPr>
          <w:p w14:paraId="45B02F26">
            <w:pPr>
              <w:spacing w:line="360" w:lineRule="auto"/>
              <w:ind w:firstLine="315" w:firstLineChars="150"/>
              <w:rPr>
                <w:rFonts w:ascii="仿宋" w:hAnsi="仿宋" w:eastAsia="仿宋" w:cs="仿宋"/>
                <w:szCs w:val="21"/>
              </w:rPr>
            </w:pPr>
            <w:r>
              <w:rPr>
                <w:rFonts w:hint="eastAsia" w:ascii="仿宋" w:hAnsi="仿宋" w:eastAsia="仿宋" w:cs="仿宋"/>
                <w:szCs w:val="21"/>
              </w:rPr>
              <w:t>户名：西安石油大学</w:t>
            </w:r>
          </w:p>
        </w:tc>
        <w:tc>
          <w:tcPr>
            <w:tcW w:w="3088" w:type="dxa"/>
            <w:vAlign w:val="center"/>
          </w:tcPr>
          <w:p w14:paraId="7F405158">
            <w:pPr>
              <w:spacing w:line="360" w:lineRule="auto"/>
              <w:ind w:firstLine="315" w:firstLineChars="150"/>
              <w:rPr>
                <w:rFonts w:ascii="仿宋" w:hAnsi="仿宋" w:eastAsia="仿宋" w:cs="仿宋"/>
                <w:szCs w:val="21"/>
              </w:rPr>
            </w:pPr>
            <w:r>
              <w:rPr>
                <w:rFonts w:hint="eastAsia" w:ascii="仿宋" w:hAnsi="仿宋" w:eastAsia="仿宋" w:cs="仿宋"/>
                <w:szCs w:val="21"/>
              </w:rPr>
              <w:t>户名：</w:t>
            </w:r>
          </w:p>
        </w:tc>
        <w:tc>
          <w:tcPr>
            <w:tcW w:w="2495" w:type="dxa"/>
            <w:vMerge w:val="continue"/>
            <w:vAlign w:val="center"/>
          </w:tcPr>
          <w:p w14:paraId="26A3753C">
            <w:pPr>
              <w:spacing w:line="360" w:lineRule="auto"/>
              <w:ind w:firstLine="315" w:firstLineChars="150"/>
              <w:rPr>
                <w:rFonts w:ascii="仿宋" w:hAnsi="仿宋" w:eastAsia="仿宋" w:cs="仿宋"/>
                <w:szCs w:val="21"/>
              </w:rPr>
            </w:pPr>
          </w:p>
        </w:tc>
      </w:tr>
      <w:tr w14:paraId="42D0FBC9">
        <w:tblPrEx>
          <w:tblCellMar>
            <w:top w:w="0" w:type="dxa"/>
            <w:left w:w="108" w:type="dxa"/>
            <w:bottom w:w="0" w:type="dxa"/>
            <w:right w:w="108" w:type="dxa"/>
          </w:tblCellMar>
        </w:tblPrEx>
        <w:trPr>
          <w:jc w:val="center"/>
        </w:trPr>
        <w:tc>
          <w:tcPr>
            <w:tcW w:w="3780" w:type="dxa"/>
            <w:vAlign w:val="center"/>
          </w:tcPr>
          <w:p w14:paraId="2DDFC500">
            <w:pPr>
              <w:spacing w:line="360" w:lineRule="auto"/>
              <w:ind w:firstLine="315" w:firstLineChars="150"/>
              <w:rPr>
                <w:rFonts w:ascii="仿宋" w:hAnsi="仿宋" w:eastAsia="仿宋" w:cs="仿宋"/>
                <w:szCs w:val="21"/>
              </w:rPr>
            </w:pPr>
            <w:r>
              <w:rPr>
                <w:rFonts w:hint="eastAsia" w:ascii="仿宋" w:hAnsi="仿宋" w:eastAsia="仿宋" w:cs="仿宋"/>
                <w:szCs w:val="21"/>
              </w:rPr>
              <w:t>开户行：工行西安电子工业区支行</w:t>
            </w:r>
          </w:p>
        </w:tc>
        <w:tc>
          <w:tcPr>
            <w:tcW w:w="3088" w:type="dxa"/>
            <w:vAlign w:val="center"/>
          </w:tcPr>
          <w:p w14:paraId="0D428215">
            <w:pPr>
              <w:spacing w:line="360" w:lineRule="auto"/>
              <w:ind w:firstLine="315" w:firstLineChars="150"/>
              <w:rPr>
                <w:rFonts w:ascii="仿宋" w:hAnsi="仿宋" w:eastAsia="仿宋" w:cs="仿宋"/>
                <w:szCs w:val="21"/>
              </w:rPr>
            </w:pPr>
            <w:r>
              <w:rPr>
                <w:rFonts w:hint="eastAsia" w:ascii="仿宋" w:hAnsi="仿宋" w:eastAsia="仿宋" w:cs="仿宋"/>
                <w:szCs w:val="21"/>
              </w:rPr>
              <w:t>开户行：</w:t>
            </w:r>
          </w:p>
        </w:tc>
        <w:tc>
          <w:tcPr>
            <w:tcW w:w="2495" w:type="dxa"/>
            <w:vAlign w:val="center"/>
          </w:tcPr>
          <w:p w14:paraId="0B1EF43C">
            <w:pPr>
              <w:spacing w:line="360" w:lineRule="auto"/>
              <w:ind w:firstLine="315" w:firstLineChars="150"/>
              <w:rPr>
                <w:rFonts w:ascii="仿宋" w:hAnsi="仿宋" w:eastAsia="仿宋" w:cs="仿宋"/>
                <w:szCs w:val="21"/>
              </w:rPr>
            </w:pPr>
            <w:r>
              <w:rPr>
                <w:rFonts w:hint="eastAsia" w:ascii="仿宋" w:hAnsi="仿宋" w:eastAsia="仿宋" w:cs="仿宋"/>
                <w:szCs w:val="21"/>
              </w:rPr>
              <w:t>代表签字：</w:t>
            </w:r>
          </w:p>
        </w:tc>
      </w:tr>
      <w:tr w14:paraId="5DC5AE55">
        <w:tblPrEx>
          <w:tblCellMar>
            <w:top w:w="0" w:type="dxa"/>
            <w:left w:w="108" w:type="dxa"/>
            <w:bottom w:w="0" w:type="dxa"/>
            <w:right w:w="108" w:type="dxa"/>
          </w:tblCellMar>
        </w:tblPrEx>
        <w:trPr>
          <w:jc w:val="center"/>
        </w:trPr>
        <w:tc>
          <w:tcPr>
            <w:tcW w:w="3780" w:type="dxa"/>
            <w:vAlign w:val="center"/>
          </w:tcPr>
          <w:p w14:paraId="1DACB8DD">
            <w:pPr>
              <w:spacing w:line="360" w:lineRule="auto"/>
              <w:ind w:firstLine="315" w:firstLineChars="150"/>
              <w:rPr>
                <w:rFonts w:ascii="仿宋" w:hAnsi="仿宋" w:eastAsia="仿宋" w:cs="仿宋"/>
                <w:szCs w:val="21"/>
              </w:rPr>
            </w:pPr>
            <w:r>
              <w:rPr>
                <w:rFonts w:hint="eastAsia" w:ascii="仿宋" w:hAnsi="仿宋" w:eastAsia="仿宋" w:cs="仿宋"/>
                <w:szCs w:val="21"/>
              </w:rPr>
              <w:t>帐号：3700023209014488850</w:t>
            </w:r>
          </w:p>
        </w:tc>
        <w:tc>
          <w:tcPr>
            <w:tcW w:w="3088" w:type="dxa"/>
            <w:vAlign w:val="center"/>
          </w:tcPr>
          <w:p w14:paraId="443F0F0E">
            <w:pPr>
              <w:spacing w:line="360" w:lineRule="auto"/>
              <w:ind w:firstLine="315" w:firstLineChars="150"/>
              <w:rPr>
                <w:rFonts w:ascii="仿宋" w:hAnsi="仿宋" w:eastAsia="仿宋" w:cs="仿宋"/>
                <w:szCs w:val="21"/>
              </w:rPr>
            </w:pPr>
            <w:r>
              <w:rPr>
                <w:rFonts w:hint="eastAsia" w:ascii="仿宋" w:hAnsi="仿宋" w:eastAsia="仿宋" w:cs="仿宋"/>
                <w:szCs w:val="21"/>
              </w:rPr>
              <w:t>帐号：</w:t>
            </w:r>
          </w:p>
        </w:tc>
        <w:tc>
          <w:tcPr>
            <w:tcW w:w="2495" w:type="dxa"/>
            <w:vAlign w:val="center"/>
          </w:tcPr>
          <w:p w14:paraId="281703B6">
            <w:pPr>
              <w:spacing w:line="360" w:lineRule="auto"/>
              <w:ind w:firstLine="315" w:firstLineChars="150"/>
              <w:rPr>
                <w:rFonts w:ascii="仿宋" w:hAnsi="仿宋" w:eastAsia="仿宋" w:cs="仿宋"/>
                <w:szCs w:val="21"/>
              </w:rPr>
            </w:pPr>
          </w:p>
        </w:tc>
      </w:tr>
      <w:tr w14:paraId="639DA24C">
        <w:tblPrEx>
          <w:tblCellMar>
            <w:top w:w="0" w:type="dxa"/>
            <w:left w:w="108" w:type="dxa"/>
            <w:bottom w:w="0" w:type="dxa"/>
            <w:right w:w="108" w:type="dxa"/>
          </w:tblCellMar>
        </w:tblPrEx>
        <w:trPr>
          <w:jc w:val="center"/>
        </w:trPr>
        <w:tc>
          <w:tcPr>
            <w:tcW w:w="3780" w:type="dxa"/>
            <w:vAlign w:val="center"/>
          </w:tcPr>
          <w:p w14:paraId="4C4EE7C9">
            <w:pPr>
              <w:spacing w:line="360" w:lineRule="auto"/>
              <w:ind w:firstLine="315" w:firstLineChars="150"/>
              <w:rPr>
                <w:rFonts w:ascii="仿宋" w:hAnsi="仿宋" w:eastAsia="仿宋" w:cs="仿宋"/>
                <w:szCs w:val="21"/>
              </w:rPr>
            </w:pPr>
            <w:r>
              <w:rPr>
                <w:rFonts w:hint="eastAsia" w:ascii="仿宋" w:hAnsi="仿宋" w:eastAsia="仿宋" w:cs="仿宋"/>
                <w:szCs w:val="21"/>
              </w:rPr>
              <w:t>电话：029—88382337</w:t>
            </w:r>
          </w:p>
        </w:tc>
        <w:tc>
          <w:tcPr>
            <w:tcW w:w="3088" w:type="dxa"/>
            <w:vAlign w:val="center"/>
          </w:tcPr>
          <w:p w14:paraId="36552A24">
            <w:pPr>
              <w:spacing w:line="360" w:lineRule="auto"/>
              <w:ind w:firstLine="315" w:firstLineChars="150"/>
              <w:rPr>
                <w:rFonts w:ascii="仿宋" w:hAnsi="仿宋" w:eastAsia="仿宋" w:cs="仿宋"/>
                <w:szCs w:val="21"/>
              </w:rPr>
            </w:pPr>
            <w:r>
              <w:rPr>
                <w:rFonts w:hint="eastAsia" w:ascii="仿宋" w:hAnsi="仿宋" w:eastAsia="仿宋" w:cs="仿宋"/>
                <w:szCs w:val="21"/>
              </w:rPr>
              <w:t xml:space="preserve">电话: </w:t>
            </w:r>
          </w:p>
        </w:tc>
        <w:tc>
          <w:tcPr>
            <w:tcW w:w="2495" w:type="dxa"/>
            <w:vAlign w:val="center"/>
          </w:tcPr>
          <w:p w14:paraId="16B08789">
            <w:pPr>
              <w:spacing w:line="360" w:lineRule="auto"/>
              <w:ind w:firstLine="315" w:firstLineChars="150"/>
              <w:rPr>
                <w:rFonts w:ascii="仿宋" w:hAnsi="仿宋" w:eastAsia="仿宋" w:cs="仿宋"/>
                <w:szCs w:val="21"/>
              </w:rPr>
            </w:pPr>
            <w:r>
              <w:rPr>
                <w:rFonts w:hint="eastAsia" w:ascii="仿宋" w:hAnsi="仿宋" w:eastAsia="仿宋" w:cs="仿宋"/>
                <w:szCs w:val="21"/>
              </w:rPr>
              <w:t>电话：</w:t>
            </w:r>
          </w:p>
        </w:tc>
      </w:tr>
      <w:tr w14:paraId="5D79A74D">
        <w:tblPrEx>
          <w:tblCellMar>
            <w:top w:w="0" w:type="dxa"/>
            <w:left w:w="108" w:type="dxa"/>
            <w:bottom w:w="0" w:type="dxa"/>
            <w:right w:w="108" w:type="dxa"/>
          </w:tblCellMar>
        </w:tblPrEx>
        <w:trPr>
          <w:jc w:val="center"/>
        </w:trPr>
        <w:tc>
          <w:tcPr>
            <w:tcW w:w="3780" w:type="dxa"/>
            <w:vAlign w:val="center"/>
          </w:tcPr>
          <w:p w14:paraId="449AEE7B">
            <w:pPr>
              <w:spacing w:line="360" w:lineRule="auto"/>
              <w:ind w:firstLine="315" w:firstLineChars="150"/>
              <w:rPr>
                <w:rFonts w:ascii="仿宋" w:hAnsi="仿宋" w:eastAsia="仿宋" w:cs="仿宋"/>
                <w:szCs w:val="21"/>
              </w:rPr>
            </w:pPr>
            <w:r>
              <w:rPr>
                <w:rFonts w:hint="eastAsia" w:ascii="仿宋" w:hAnsi="仿宋" w:eastAsia="仿宋" w:cs="仿宋"/>
                <w:szCs w:val="21"/>
              </w:rPr>
              <w:t>地址：西安市电子二路18号</w:t>
            </w:r>
          </w:p>
        </w:tc>
        <w:tc>
          <w:tcPr>
            <w:tcW w:w="3088" w:type="dxa"/>
            <w:vAlign w:val="center"/>
          </w:tcPr>
          <w:p w14:paraId="26B0C9E6">
            <w:pPr>
              <w:spacing w:line="360" w:lineRule="auto"/>
              <w:ind w:firstLine="315" w:firstLineChars="150"/>
              <w:rPr>
                <w:rFonts w:ascii="仿宋" w:hAnsi="仿宋" w:eastAsia="仿宋" w:cs="仿宋"/>
                <w:szCs w:val="21"/>
              </w:rPr>
            </w:pPr>
            <w:r>
              <w:rPr>
                <w:rFonts w:hint="eastAsia" w:ascii="仿宋" w:hAnsi="仿宋" w:eastAsia="仿宋" w:cs="仿宋"/>
                <w:szCs w:val="21"/>
              </w:rPr>
              <w:t>地址：</w:t>
            </w:r>
          </w:p>
        </w:tc>
        <w:tc>
          <w:tcPr>
            <w:tcW w:w="2495" w:type="dxa"/>
            <w:vAlign w:val="center"/>
          </w:tcPr>
          <w:p w14:paraId="294B591D">
            <w:pPr>
              <w:spacing w:line="360" w:lineRule="auto"/>
              <w:ind w:firstLine="315" w:firstLineChars="150"/>
              <w:rPr>
                <w:rFonts w:ascii="仿宋" w:hAnsi="仿宋" w:eastAsia="仿宋" w:cs="仿宋"/>
                <w:szCs w:val="21"/>
              </w:rPr>
            </w:pPr>
            <w:r>
              <w:rPr>
                <w:rFonts w:hint="eastAsia" w:ascii="仿宋" w:hAnsi="仿宋" w:eastAsia="仿宋" w:cs="仿宋"/>
                <w:szCs w:val="21"/>
              </w:rPr>
              <w:t>地址：</w:t>
            </w:r>
          </w:p>
        </w:tc>
      </w:tr>
      <w:tr w14:paraId="33FAF5AE">
        <w:tblPrEx>
          <w:tblCellMar>
            <w:top w:w="0" w:type="dxa"/>
            <w:left w:w="108" w:type="dxa"/>
            <w:bottom w:w="0" w:type="dxa"/>
            <w:right w:w="108" w:type="dxa"/>
          </w:tblCellMar>
        </w:tblPrEx>
        <w:trPr>
          <w:jc w:val="center"/>
        </w:trPr>
        <w:tc>
          <w:tcPr>
            <w:tcW w:w="3780" w:type="dxa"/>
            <w:vAlign w:val="center"/>
          </w:tcPr>
          <w:p w14:paraId="2E69A52B">
            <w:pPr>
              <w:spacing w:line="360" w:lineRule="auto"/>
              <w:ind w:firstLine="315" w:firstLineChars="150"/>
              <w:rPr>
                <w:rFonts w:ascii="仿宋" w:hAnsi="仿宋" w:eastAsia="仿宋" w:cs="仿宋"/>
                <w:szCs w:val="21"/>
              </w:rPr>
            </w:pPr>
            <w:r>
              <w:rPr>
                <w:rFonts w:hint="eastAsia" w:ascii="仿宋" w:hAnsi="仿宋" w:eastAsia="仿宋" w:cs="仿宋"/>
                <w:szCs w:val="21"/>
              </w:rPr>
              <w:t>日期: 202  年  月  日</w:t>
            </w:r>
          </w:p>
        </w:tc>
        <w:tc>
          <w:tcPr>
            <w:tcW w:w="3088" w:type="dxa"/>
            <w:vAlign w:val="center"/>
          </w:tcPr>
          <w:p w14:paraId="1EDA0D79">
            <w:pPr>
              <w:spacing w:line="360" w:lineRule="auto"/>
              <w:ind w:firstLine="315" w:firstLineChars="150"/>
              <w:rPr>
                <w:rFonts w:ascii="仿宋" w:hAnsi="仿宋" w:eastAsia="仿宋" w:cs="仿宋"/>
                <w:szCs w:val="21"/>
              </w:rPr>
            </w:pPr>
            <w:r>
              <w:rPr>
                <w:rFonts w:hint="eastAsia" w:ascii="仿宋" w:hAnsi="仿宋" w:eastAsia="仿宋" w:cs="仿宋"/>
                <w:szCs w:val="21"/>
              </w:rPr>
              <w:t>日期: 202  年  月  日</w:t>
            </w:r>
          </w:p>
        </w:tc>
        <w:tc>
          <w:tcPr>
            <w:tcW w:w="2495" w:type="dxa"/>
            <w:vAlign w:val="center"/>
          </w:tcPr>
          <w:p w14:paraId="085AC159">
            <w:pPr>
              <w:spacing w:line="360" w:lineRule="auto"/>
              <w:ind w:firstLine="315" w:firstLineChars="150"/>
              <w:rPr>
                <w:rFonts w:ascii="仿宋" w:hAnsi="仿宋" w:eastAsia="仿宋" w:cs="仿宋"/>
                <w:szCs w:val="21"/>
              </w:rPr>
            </w:pPr>
          </w:p>
        </w:tc>
      </w:tr>
    </w:tbl>
    <w:p w14:paraId="2815E664">
      <w:pPr>
        <w:ind w:firstLine="480" w:firstLineChars="150"/>
        <w:jc w:val="center"/>
        <w:rPr>
          <w:sz w:val="32"/>
          <w:szCs w:val="32"/>
        </w:rPr>
      </w:pPr>
    </w:p>
    <w:p w14:paraId="6B344A17">
      <w:pPr>
        <w:ind w:firstLine="480" w:firstLineChars="150"/>
        <w:jc w:val="center"/>
        <w:rPr>
          <w:sz w:val="32"/>
          <w:szCs w:val="32"/>
        </w:rPr>
      </w:pPr>
    </w:p>
    <w:p w14:paraId="3210D194">
      <w:pPr>
        <w:spacing w:before="78" w:line="188" w:lineRule="auto"/>
        <w:rPr>
          <w:rFonts w:ascii="黑体" w:hAnsi="黑体" w:eastAsia="黑体" w:cs="黑体"/>
          <w:sz w:val="24"/>
          <w:szCs w:val="24"/>
        </w:rPr>
      </w:pPr>
      <w:bookmarkStart w:id="0" w:name="_GoBack"/>
      <w:bookmarkEnd w:id="0"/>
    </w:p>
    <w:sectPr>
      <w:type w:val="continuous"/>
      <w:pgSz w:w="11900" w:h="16840"/>
      <w:pgMar w:top="1431" w:right="1785" w:bottom="1417" w:left="1785" w:header="0" w:footer="0" w:gutter="0"/>
      <w:cols w:equalWidth="0" w:num="1">
        <w:col w:w="833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886ED3"/>
    <w:multiLevelType w:val="singleLevel"/>
    <w:tmpl w:val="F3886ED3"/>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WZlOTI0MzU1MTE4MDlkNWMzNDM3YTg4ZmE1ODFmZDgifQ=="/>
  </w:docVars>
  <w:rsids>
    <w:rsidRoot w:val="00000000"/>
    <w:rsid w:val="25EF5159"/>
    <w:rsid w:val="31575480"/>
    <w:rsid w:val="58FB5F03"/>
    <w:rsid w:val="610F401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annotation text"/>
    <w:basedOn w:val="1"/>
    <w:qFormat/>
    <w:uiPriority w:val="0"/>
    <w:pPr>
      <w:jc w:val="left"/>
    </w:pPr>
  </w:style>
  <w:style w:type="paragraph" w:styleId="4">
    <w:name w:val="Body Text"/>
    <w:basedOn w:val="1"/>
    <w:autoRedefine/>
    <w:semiHidden/>
    <w:qFormat/>
    <w:uiPriority w:val="0"/>
    <w:rPr>
      <w:rFonts w:ascii="Arial" w:hAnsi="Arial" w:eastAsia="Arial" w:cs="Arial"/>
      <w:sz w:val="21"/>
      <w:szCs w:val="21"/>
      <w:lang w:val="en-US" w:eastAsia="en-US" w:bidi="ar-SA"/>
    </w:rPr>
  </w:style>
  <w:style w:type="paragraph" w:styleId="5">
    <w:name w:val="Plain Text"/>
    <w:basedOn w:val="1"/>
    <w:qFormat/>
    <w:uiPriority w:val="99"/>
    <w:rPr>
      <w:rFonts w:ascii="宋体" w:hAnsi="Courier New"/>
      <w:szCs w:val="21"/>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4</Pages>
  <Words>2546</Words>
  <Characters>2601</Characters>
  <TotalTime>0</TotalTime>
  <ScaleCrop>false</ScaleCrop>
  <LinksUpToDate>false</LinksUpToDate>
  <CharactersWithSpaces>2642</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2024-05-20T16:52:00Z</dcterms:created>
  <dc:creator>admin</dc:creator>
  <cp:lastModifiedBy>puppet</cp:lastModifiedBy>
  <dcterms:modified xsi:type="dcterms:W3CDTF">2025-11-26T02:59:37Z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2024-05-20T16:52:12Z</vt:filetime>
  </property>
  <property fmtid="{D5CDD505-2E9C-101B-9397-08002B2CF9AE}" pid="4" name="UsrData">
    <vt:lpwstr>664b0f39524474001f00b4d1wl</vt:lpwstr>
  </property>
  <property fmtid="{D5CDD505-2E9C-101B-9397-08002B2CF9AE}" pid="5" name="KSOProductBuildVer">
    <vt:lpwstr>2052-12.1.0.23542</vt:lpwstr>
  </property>
  <property fmtid="{D5CDD505-2E9C-101B-9397-08002B2CF9AE}" pid="6" name="ICV">
    <vt:lpwstr>056B9DD2F0EC43F6AEA1FCE926EC6B2E_12</vt:lpwstr>
  </property>
  <property fmtid="{D5CDD505-2E9C-101B-9397-08002B2CF9AE}" pid="7" name="KSOTemplateDocerSaveRecord">
    <vt:lpwstr>eyJoZGlkIjoiNzQ1ZjFhODQ2YTk0OWE2MWRiZGI1ZjhkYjY1YjEzNGMiLCJ1c2VySWQiOiI2NjUzNDI1ODcifQ==</vt:lpwstr>
  </property>
</Properties>
</file>