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版本号：ZX2025-11-52.20251126001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高压气体吸附及恒压吸附速率仪采购项目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ZX2025-11-52.</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高压气体吸附及恒压吸附速率仪采购项目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ZX2025-11-52.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高压气体吸附及恒压吸附速率仪采购项目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高压气体吸附及恒压吸附速率仪，用于获取材料对气体的高压吸附容量、吸附等温线以及吸附/脱附动力学曲线。材料包括：页岩、煤岩、储氢/储甲烷材料、碳捕集吸附剂、多孔配位聚合物等。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或法定代表人授权书及授权代表身份证：供应商应授权合法的人员参加谈判全过程，其中法定代表人直接参加谈判的，须提供法定代表人身份证，并与营业执照上信息一致。法定代表人授权代表参加谈判的，须提供法定代表人授权书及授权代表身份证（授权代表需提供谈判截止时间前半年任意一个月的社保缴纳证明）。</w:t>
      </w:r>
    </w:p>
    <w:p>
      <w:pPr>
        <w:pStyle w:val="null3"/>
      </w:pPr>
      <w:r>
        <w:rPr>
          <w:rFonts w:ascii="仿宋_GB2312" w:hAnsi="仿宋_GB2312" w:cs="仿宋_GB2312" w:eastAsia="仿宋_GB2312"/>
        </w:rPr>
        <w:t>2、本项目不接受联合体谈判：本项目不接受联合体谈判，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孙童欣 张爽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采购包1保证金金额：21,152.00元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说明：合同签订前缴纳，缴纳金额为合同金额的5%；缴纳方式：银行转账、支票/汇票/本票、保函/保险 ； 待合同执行完毕、服务验收合格后凭验收单和缴款收据，合同履约保证金予以无息退还。如遇下列情况之一者，合同履约保证金不予退还，作为对招标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同意代理机构的招标代理服务费参见国家计委颁布的《招标代理服务收费管理暂行办法》（计价格[2002]1980号）和（发改办价格[2011]534号）货物类收费标准的90%，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西安石油大学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陕西正信招标有限公司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按照谈判文件，响应文件规定执行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联系人：王宇轩、孙童欣</w:t>
      </w:r>
    </w:p>
    <w:p>
      <w:pPr>
        <w:pStyle w:val="null3"/>
      </w:pPr>
      <w:r>
        <w:rPr>
          <w:rFonts w:ascii="仿宋_GB2312" w:hAnsi="仿宋_GB2312" w:cs="仿宋_GB2312" w:eastAsia="仿宋_GB2312"/>
        </w:rPr>
        <w:t>联系电话：029-88110800转8033（邮箱：1053910307@qq.com）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背景：高压气体吸附及恒压吸附速率仪能够精准测定材料在高压条件下的气体吸附量及吸附-脱附动力学曲线。无论是研究页岩/煤岩储层中甲烷的吸附行为、评估储氢/储甲烷材料的工作容量与可逆性，还是解析碳捕集吸附剂对CO₂的捕获机理与传质速率，都能提供精准数据支撑。高压气体吸附及恒压吸附速率仪可高效完成材料高压吸附行为与动力学分析，为深入研究材料微观吸附特性与宏观工艺性能研究提供核心技术支撑，是推动能源储存、碳捕集利用与封存（CCUS）及化工分离等技术的突破与发展的重要基础设备。 采购目的：本次采购高压气体吸附及恒压吸附速率仪，核心目的在于构建一个高水平的高压吸附分析测试平台，满足科研机构、高校、新材料企业及化工、环保等领域相关单位，在非常规油气勘探、新能源材料开发、工业吸附剂筛选与工艺优化等领域的实验检测需求。通过获取精准可靠的高压吸附热力学与动力学数据，为深入理解吸附机理、筛选高性能材料、优化工艺参数提供关键设备支撑。 系统功能：（1）高压吸附容量分析功能：能够精确控制并测量系统压力，监测吸附平衡过程中的压力变化，全自动测量并绘制多种气体在高压下的完整吸附-脱附等温线，为评估材料的最大吸附容量和吸附热力学行为提供直接数据。（2）恒压吸附速率分析功能：系统需具备在设定压力点自动切换并维持压力恒定的能力（恒压控制）。在恒压条件下，能够实时、连续地监测并记录吸附量随时间变化的动态过程，直接获取吸附动力学曲线。通过配套的动力学分析软件，可对获得的动力学数据进行模型拟合。（3）高安全性及自动化功能：系统需集成多重安全防护措施，并具备高程度的自动化控制与数据采集能力，确保高压实验过程的安全、稳定与结果的重复性。 预期效果：通过该设备的投入使用，采购单位将在材料微观结构分析领域获得高质量实验平台。预期可直接获取材料在高压下的精确吸附等温线和吸附动力学曲线，揭示材料孔结构、表面化学性质与吸附性能、催化活性、力学性能等宏观特性的关联规律。为储能材料、碳捕集与封存以及相关工业吸附分离、非常规油气藏储量评估等研究提供关键数据支撑。</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高压气体吸附及恒压吸附速率仪采购项目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标的名称：高压气体吸附及恒压吸附速率仪采购项目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★（1）压力指标：范围从0.2Pa～68MPa；压力精度长期使用稳定性≤0.025%FS；步距≤350Pa；</w:t>
            </w:r>
          </w:p>
          <w:p>
            <w:pPr>
              <w:pStyle w:val="null3"/>
            </w:pPr>
            <w:r>
              <w:rPr>
                <w:rFonts w:ascii="仿宋_GB2312" w:hAnsi="仿宋_GB2312" w:cs="仿宋_GB2312" w:eastAsia="仿宋_GB2312"/>
              </w:rPr>
              <w:t>★（2）温度指标：范围－190℃到900℃；控温精度：≤0.1℃（≤500℃）， ≤0.3℃（500～1200℃）；升温速度：1～25℃/min（可调）；</w:t>
            </w:r>
          </w:p>
          <w:p>
            <w:pPr>
              <w:pStyle w:val="null3"/>
            </w:pPr>
            <w:r>
              <w:rPr>
                <w:rFonts w:ascii="仿宋_GB2312" w:hAnsi="仿宋_GB2312" w:cs="仿宋_GB2312" w:eastAsia="仿宋_GB2312"/>
              </w:rPr>
              <w:t>（3）样品管参数：内容积10mL，带3路进气口，其中2路用于测试气体，1路用于标定气体；</w:t>
            </w:r>
          </w:p>
          <w:p>
            <w:pPr>
              <w:pStyle w:val="null3"/>
            </w:pPr>
            <w:r>
              <w:rPr>
                <w:rFonts w:ascii="仿宋_GB2312" w:hAnsi="仿宋_GB2312" w:cs="仿宋_GB2312" w:eastAsia="仿宋_GB2312"/>
              </w:rPr>
              <w:t>（4）仪器恒温：具有恒温控温系统，室温～40℃，控温精度≤0.1℃；</w:t>
            </w:r>
          </w:p>
          <w:p>
            <w:pPr>
              <w:pStyle w:val="null3"/>
            </w:pPr>
            <w:r>
              <w:rPr>
                <w:rFonts w:ascii="仿宋_GB2312" w:hAnsi="仿宋_GB2312" w:cs="仿宋_GB2312" w:eastAsia="仿宋_GB2312"/>
              </w:rPr>
              <w:t>（5）测试气体：CH</w:t>
            </w:r>
            <w:r>
              <w:rPr>
                <w:rFonts w:ascii="仿宋_GB2312" w:hAnsi="仿宋_GB2312" w:cs="仿宋_GB2312" w:eastAsia="仿宋_GB2312"/>
                <w:vertAlign w:val="subscript"/>
              </w:rPr>
              <w:t>4</w:t>
            </w:r>
            <w:r>
              <w:rPr>
                <w:rFonts w:ascii="仿宋_GB2312" w:hAnsi="仿宋_GB2312" w:cs="仿宋_GB2312" w:eastAsia="仿宋_GB2312"/>
              </w:rPr>
              <w:t>、CO</w:t>
            </w:r>
            <w:r>
              <w:rPr>
                <w:rFonts w:ascii="仿宋_GB2312" w:hAnsi="仿宋_GB2312" w:cs="仿宋_GB2312" w:eastAsia="仿宋_GB2312"/>
                <w:vertAlign w:val="subscript"/>
              </w:rPr>
              <w:t>2</w:t>
            </w:r>
            <w:r>
              <w:rPr>
                <w:rFonts w:ascii="仿宋_GB2312" w:hAnsi="仿宋_GB2312" w:cs="仿宋_GB2312" w:eastAsia="仿宋_GB2312"/>
              </w:rPr>
              <w:t>、N</w:t>
            </w:r>
            <w:r>
              <w:rPr>
                <w:rFonts w:ascii="仿宋_GB2312" w:hAnsi="仿宋_GB2312" w:cs="仿宋_GB2312" w:eastAsia="仿宋_GB2312"/>
                <w:vertAlign w:val="subscript"/>
              </w:rPr>
              <w:t>2</w:t>
            </w:r>
            <w:r>
              <w:rPr>
                <w:rFonts w:ascii="仿宋_GB2312" w:hAnsi="仿宋_GB2312" w:cs="仿宋_GB2312" w:eastAsia="仿宋_GB2312"/>
              </w:rPr>
              <w:t>、H</w:t>
            </w:r>
            <w:r>
              <w:rPr>
                <w:rFonts w:ascii="仿宋_GB2312" w:hAnsi="仿宋_GB2312" w:cs="仿宋_GB2312" w:eastAsia="仿宋_GB2312"/>
                <w:vertAlign w:val="subscript"/>
              </w:rPr>
              <w:t>2</w:t>
            </w:r>
            <w:r>
              <w:rPr>
                <w:rFonts w:ascii="仿宋_GB2312" w:hAnsi="仿宋_GB2312" w:cs="仿宋_GB2312" w:eastAsia="仿宋_GB2312"/>
              </w:rPr>
              <w:t>、O</w:t>
            </w:r>
            <w:r>
              <w:rPr>
                <w:rFonts w:ascii="仿宋_GB2312" w:hAnsi="仿宋_GB2312" w:cs="仿宋_GB2312" w:eastAsia="仿宋_GB2312"/>
                <w:vertAlign w:val="subscript"/>
              </w:rPr>
              <w:t>2</w:t>
            </w:r>
            <w:r>
              <w:rPr>
                <w:rFonts w:ascii="仿宋_GB2312" w:hAnsi="仿宋_GB2312" w:cs="仿宋_GB2312" w:eastAsia="仿宋_GB2312"/>
              </w:rPr>
              <w:t>、Ar、He、C</w:t>
            </w:r>
            <w:r>
              <w:rPr>
                <w:rFonts w:ascii="仿宋_GB2312" w:hAnsi="仿宋_GB2312" w:cs="仿宋_GB2312" w:eastAsia="仿宋_GB2312"/>
                <w:vertAlign w:val="subscript"/>
              </w:rPr>
              <w:t>2</w:t>
            </w:r>
            <w:r>
              <w:rPr>
                <w:rFonts w:ascii="仿宋_GB2312" w:hAnsi="仿宋_GB2312" w:cs="仿宋_GB2312" w:eastAsia="仿宋_GB2312"/>
              </w:rPr>
              <w:t>H</w:t>
            </w:r>
            <w:r>
              <w:rPr>
                <w:rFonts w:ascii="仿宋_GB2312" w:hAnsi="仿宋_GB2312" w:cs="仿宋_GB2312" w:eastAsia="仿宋_GB2312"/>
                <w:vertAlign w:val="subscript"/>
              </w:rPr>
              <w:t>6</w:t>
            </w:r>
            <w:r>
              <w:rPr>
                <w:rFonts w:ascii="仿宋_GB2312" w:hAnsi="仿宋_GB2312" w:cs="仿宋_GB2312" w:eastAsia="仿宋_GB2312"/>
              </w:rPr>
              <w:t>等；</w:t>
            </w:r>
          </w:p>
          <w:p>
            <w:pPr>
              <w:pStyle w:val="null3"/>
            </w:pPr>
            <w:r>
              <w:rPr>
                <w:rFonts w:ascii="仿宋_GB2312" w:hAnsi="仿宋_GB2312" w:cs="仿宋_GB2312" w:eastAsia="仿宋_GB2312"/>
              </w:rPr>
              <w:t>★（6）测试精度：重复性≤2%；</w:t>
            </w:r>
          </w:p>
          <w:p>
            <w:pPr>
              <w:pStyle w:val="null3"/>
            </w:pPr>
            <w:r>
              <w:rPr>
                <w:rFonts w:ascii="仿宋_GB2312" w:hAnsi="仿宋_GB2312" w:cs="仿宋_GB2312" w:eastAsia="仿宋_GB2312"/>
              </w:rPr>
              <w:t>（7）安全性：保证仪器的气密性，同时配置可燃气体报警器，保证操作的安全性；</w:t>
            </w:r>
          </w:p>
          <w:p>
            <w:pPr>
              <w:pStyle w:val="null3"/>
            </w:pPr>
            <w:r>
              <w:rPr>
                <w:rFonts w:ascii="仿宋_GB2312" w:hAnsi="仿宋_GB2312" w:cs="仿宋_GB2312" w:eastAsia="仿宋_GB2312"/>
              </w:rPr>
              <w:t>★（8）等温线及PCT等温线测定；</w:t>
            </w:r>
          </w:p>
          <w:p>
            <w:pPr>
              <w:pStyle w:val="null3"/>
            </w:pPr>
            <w:r>
              <w:rPr>
                <w:rFonts w:ascii="仿宋_GB2312" w:hAnsi="仿宋_GB2312" w:cs="仿宋_GB2312" w:eastAsia="仿宋_GB2312"/>
              </w:rPr>
              <w:t>★（9）恒压吸附和脱附动力学测定；</w:t>
            </w:r>
          </w:p>
          <w:p>
            <w:pPr>
              <w:pStyle w:val="null3"/>
            </w:pPr>
            <w:r>
              <w:rPr>
                <w:rFonts w:ascii="仿宋_GB2312" w:hAnsi="仿宋_GB2312" w:cs="仿宋_GB2312" w:eastAsia="仿宋_GB2312"/>
              </w:rPr>
              <w:t>（10）全自动多温度实验；</w:t>
            </w:r>
          </w:p>
          <w:p>
            <w:pPr>
              <w:pStyle w:val="null3"/>
            </w:pPr>
            <w:r>
              <w:rPr>
                <w:rFonts w:ascii="仿宋_GB2312" w:hAnsi="仿宋_GB2312" w:cs="仿宋_GB2312" w:eastAsia="仿宋_GB2312"/>
              </w:rPr>
              <w:t>（11）程序升温脱附测试；</w:t>
            </w:r>
          </w:p>
          <w:p>
            <w:pPr>
              <w:pStyle w:val="null3"/>
            </w:pPr>
            <w:r>
              <w:rPr>
                <w:rFonts w:ascii="仿宋_GB2312" w:hAnsi="仿宋_GB2312" w:cs="仿宋_GB2312" w:eastAsia="仿宋_GB2312"/>
              </w:rPr>
              <w:t>（12）多功能自动化联用，可外接多种检测器，如质谱仪、色谱仪等。</w:t>
            </w:r>
          </w:p>
          <w:p>
            <w:pPr>
              <w:pStyle w:val="null3"/>
            </w:pPr>
            <w:r>
              <w:rPr>
                <w:rFonts w:ascii="仿宋_GB2312" w:hAnsi="仿宋_GB2312" w:cs="仿宋_GB2312" w:eastAsia="仿宋_GB2312"/>
              </w:rPr>
              <w:t>注：所有技术参数均须满足要求，★技术参数必须提供佐证材料（包括但不限于产品彩页或厂家盖章出具的技术白皮书或官网截图等），不满足或未提供佐证材料视为负偏离，按无效文件处理。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交货时间为本合同生效后 90 天内到货并安装调试交付使用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西安石油大学指定地点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合同签订后，供应商开具等额银行保函，采购人收到银行保函正本后，一次性付清合同货款，待货物到达指定地点、安装调试验收合格并提供全额增值税专用发票后，采购人退还银行保函正本</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（1）验收以最终验收为准； （2）货物安装调试运行正常后，甲方（采购单位）按学校相关业务部门规定提交验收申请，学校根据采购单位技术验收结果，组织有关专家进行货物的最终验收。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货物的运输方式由乙方自行选择，但包装必须符合国家标准或行业标准，满足航空、铁路或公路运输以及货物装卸要求，保证使用人收到的是无任何损伤的货物。否则，因此造成的损失由乙方自行承担。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质保期：自学校验收合格之日起3年。 售后服务效率要求：7*24 即时响应（包括电话响应）；电话响应无法解决时，24小时内到达现场。修复时间48小时内；如48小时内无法修复，应提供相应解决方案。售后服务标准要求： 技术服务： 1. 设备安装、调试和验收 2.卖方应在合同生效后的1个月内向用户提供详细的安装要求并提供技术咨询。 3. 仪器到达用户所在地，在接到用户通知后一周内进行安装调试，直至通过验收。 4. 技术培训：在用户所在地对用户进行为期1周的培训。培训内容包括仪器的技术原理、操作、数据处理、基本维护等。验收后半年内组织买方相关人员2人参加举办的相关应用培训班。 5. 保修期：卖方提供免费保修,保修期自仪器验收签字之日起计算。保修期间维修及零件更换费用由厂家负担。 6. 维修响应时间：卖方应在24小时内对用户的服务要求作出响应，维修服务包括电话指导和现场维修。</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1、报价要求： （1）供应商应当根据采购文件的要求和范围，以人民币为货币，以元为报价单位。 （2）报价：谈判报价是指到达使用地点、验收合格达到正常使用条件前的所有费用，包括但不限于以下费用：货物价值、安装调试费、国内外运杂费（含保险）、仓储保管费、技术培训费、检测费、施工费、人工费等全部相关费用； （3）供应商所提供的产品型号、产地等重要信息，需要与仪器机身保持一致。 2、谈判保证金注意事项： （1）谈判保证金缴纳截止时间：同投标文件递交截止时间一致。（2）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保函必须由具有开具投标保函资格的单位开具；若供应商违约，开具保函单位承担连带责任。 3、需要落实的政府采购政策：①《国务院办公厅关于建立政府强制采购节能产品制度的通知》（国办发〔2007〕51号）；②《财政部 司法部关于政府采购支持监狱企业发展有关问题的通知》（财库〔2014〕68号）；③《三部门联合发布关于促进残疾人就业政府采购政策的通知》（财库〔2017〕141号）；④《财政部 发展改革委 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如有最新颁布的政府采购政策，按最新的文件执行。 4、成交供应商应在成交结果发布后2日内提供与电子化交易平台上传一致的纸质响应文件2份。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1、供应商为合法注册的法人、其他组织或自然人，具有独立承担民事责任的能力，提供具有统一社会信用代码证的营业执照（或事业单位法人证），分支机构参与投标的，提供有效的分支机构营业执照，以及有效的总公司营业执照及总公司针对本项目的授权书；供应商为自然人的提供身份证； 2、供应商提供2023年度或2024年度经审计完整的财务审计报告（成立时间至提交投标文件截止时间不足一年的可提供成立后任意时段的资产负债表），或其开标前12个月内银行出具的资信证明，或财政部门认可的政府采购专业担保机构出具的投标担保函； 3、提供具有履行本合同所必需专业技术能力的说明及承诺； 4、税收缴纳证明：提供谈判截止时间前12个月内以来任意一个月的依法缴纳税收的相关凭据（时间以税款所属日期为准），凭据应有税务机关或代收机关的公章或业务专用章。依法免税或无须缴纳税收的供应商应提供相应证明文件； 5、社会保障资金缴纳证明：提供谈判截止时间前12个月内任意一个月的社会保障资金缴存单据或社保机构开具的社会保险参保缴费情况证明。依法不需要缴纳社会保障资金的供应商应提供相关文件证明； 6、参加政府采购活动前3年内在经营活动中没有重大违法记录的书面声明。</w:t>
            </w:r>
          </w:p>
        </w:tc>
        <w:tc>
          <w:tcPr>
            <w:tcW w:type="dxa" w:w="1661"/>
          </w:tcPr>
          <w:p>
            <w:pPr>
              <w:pStyle w:val="null3"/>
            </w:pPr>
            <w:r>
              <w:rPr>
                <w:rFonts w:ascii="仿宋_GB2312" w:hAnsi="仿宋_GB2312" w:cs="仿宋_GB2312" w:eastAsia="仿宋_GB2312"/>
              </w:rPr>
              <w:t>3供应商的资格证明材料.docx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3供应商的资格证明材料.docx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本项目为非专门面向中、小、微型企业采购项目</w:t>
            </w:r>
          </w:p>
        </w:tc>
        <w:tc>
          <w:tcPr>
            <w:tcW w:type="dxa" w:w="3322"/>
          </w:tcPr>
          <w:p>
            <w:pPr>
              <w:pStyle w:val="null3"/>
            </w:pPr>
            <w:r>
              <w:rPr>
                <w:rFonts w:ascii="仿宋_GB2312" w:hAnsi="仿宋_GB2312" w:cs="仿宋_GB2312" w:eastAsia="仿宋_GB2312"/>
              </w:rPr>
              <w:t>本项目为非专门面向中、小、微型企业采购项目</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法定代表人身份证或法定代表人授权书及授权代表身份证</w:t>
            </w:r>
          </w:p>
        </w:tc>
        <w:tc>
          <w:tcPr>
            <w:tcW w:type="dxa" w:w="3322"/>
          </w:tcPr>
          <w:p>
            <w:pPr>
              <w:pStyle w:val="null3"/>
            </w:pPr>
            <w:r>
              <w:rPr>
                <w:rFonts w:ascii="仿宋_GB2312" w:hAnsi="仿宋_GB2312" w:cs="仿宋_GB2312" w:eastAsia="仿宋_GB2312"/>
              </w:rPr>
              <w:t>供应商应授权合法的人员参加谈判全过程，其中法定代表人直接参加谈判的，须提供法定代表人身份证，并与营业执照上信息一致。法定代表人授权代表参加谈判的，须提供法定代表人授权书及授权代表身份证（授权代表需提供谈判截止时间前半年任意一个月的社保缴纳证明）。</w:t>
            </w:r>
          </w:p>
        </w:tc>
        <w:tc>
          <w:tcPr>
            <w:tcW w:type="dxa" w:w="1661"/>
          </w:tcPr>
          <w:p>
            <w:pPr>
              <w:pStyle w:val="null3"/>
            </w:pPr>
            <w:r>
              <w:rPr>
                <w:rFonts w:ascii="仿宋_GB2312" w:hAnsi="仿宋_GB2312" w:cs="仿宋_GB2312" w:eastAsia="仿宋_GB2312"/>
              </w:rPr>
              <w:t>3供应商的资格证明材料.docx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本项目不接受联合体谈判</w:t>
            </w:r>
          </w:p>
        </w:tc>
        <w:tc>
          <w:tcPr>
            <w:tcW w:type="dxa" w:w="3322"/>
          </w:tcPr>
          <w:p>
            <w:pPr>
              <w:pStyle w:val="null3"/>
            </w:pPr>
            <w:r>
              <w:rPr>
                <w:rFonts w:ascii="仿宋_GB2312" w:hAnsi="仿宋_GB2312" w:cs="仿宋_GB2312" w:eastAsia="仿宋_GB2312"/>
              </w:rPr>
              <w:t>本项目不接受联合体谈判，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rFonts w:ascii="仿宋_GB2312" w:hAnsi="仿宋_GB2312" w:cs="仿宋_GB2312" w:eastAsia="仿宋_GB2312"/>
              </w:rPr>
              <w:t>3供应商的资格证明材料.docx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交货时间为本合同生效后 90 天内到货并安装调试交付使用</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自学校验收合格之日起3年</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合同签订后，供应商开具等额银行保函，采购人收到银行保函正本后，一次性付清合同货款，待货物到达指定地点、安装调试验收合格并提供全额增值税专用发票后，采购人退还银行保函正本</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响应报价未超过采购预算或者最高限价</w:t>
            </w:r>
          </w:p>
        </w:tc>
        <w:tc>
          <w:tcPr>
            <w:tcW w:type="dxa" w:w="3322"/>
          </w:tcPr>
          <w:p>
            <w:pPr>
              <w:pStyle w:val="null3"/>
            </w:pPr>
            <w:r>
              <w:rPr>
                <w:rFonts w:ascii="仿宋_GB2312" w:hAnsi="仿宋_GB2312" w:cs="仿宋_GB2312" w:eastAsia="仿宋_GB2312"/>
              </w:rPr>
              <w:t>响应报价未超过采购预算或者最高限价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3322"/>
          </w:tcPr>
          <w:p>
            <w:pPr>
              <w:pStyle w:val="null3"/>
            </w:pPr>
            <w:r>
              <w:rPr>
                <w:rFonts w:ascii="仿宋_GB2312" w:hAnsi="仿宋_GB2312" w:cs="仿宋_GB2312" w:eastAsia="仿宋_GB2312"/>
              </w:rPr>
              <w:t>供应商有法律、规章、规范性文件和招标文件规定的其他无效情形，按无效响应处理</w:t>
            </w:r>
          </w:p>
        </w:tc>
        <w:tc>
          <w:tcPr>
            <w:tcW w:type="dxa" w:w="1661"/>
          </w:tcPr>
          <w:p>
            <w:pPr>
              <w:pStyle w:val="null3"/>
            </w:pPr>
            <w:r>
              <w:rPr>
                <w:rFonts w:ascii="仿宋_GB2312" w:hAnsi="仿宋_GB2312" w:cs="仿宋_GB2312" w:eastAsia="仿宋_GB2312"/>
              </w:rPr>
              <w:t>响应文件封面 6供应商认为需要提供的其他资料.docx 5技术响应与偏离表.docx 4承诺书.docx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1分项价格表.docx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详见附件：3供应商的资格证明材料.docx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详见附件：6供应商认为需要提供的其他资料.docx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