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版本号：SXWZ2025ZB-SZY-26020251212003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直接口服类及特殊类中药饮片项目招标采购项目D</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SXWZ2025ZB-SZY-260</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直接口服类及特殊类中药饮片项目招标采购项目D</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SXWZ2025ZB-SZY-260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直接口服类及特殊类中药饮片项目招标采购项目D</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项目（D）直接口服类及特殊类中药饮片项目。直接口服类及特殊类中药饮片项目共22个品种。包含直接口服中药饮片14种及特殊中药饮片8种。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p>
      <w:pPr>
        <w:pStyle w:val="null3"/>
      </w:pPr>
      <w:r>
        <w:rPr>
          <w:rFonts w:ascii="仿宋_GB2312" w:hAnsi="仿宋_GB2312" w:cs="仿宋_GB2312" w:eastAsia="仿宋_GB2312"/>
        </w:rPr>
        <w:t>3、社会保障资金的证明：提供自2025年01月01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提供2025年01月01日以来已缴纳的至少一个月的纳税证明或完税证明（时间以税款所属日期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5、专业技术声明：具有履行合同所必需的设备和专业技术能力的书面声明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近六个月内任意一个月的养老保险缴纳证明）；</w:t>
      </w:r>
    </w:p>
    <w:p>
      <w:pPr>
        <w:pStyle w:val="null3"/>
      </w:pPr>
      <w:r>
        <w:rPr>
          <w:rFonts w:ascii="仿宋_GB2312" w:hAnsi="仿宋_GB2312" w:cs="仿宋_GB2312" w:eastAsia="仿宋_GB2312"/>
        </w:rPr>
        <w:t>8、药品经营许可证：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9、控股关系声明：单位负责人为同一人或存在直接控股、管理关系的不同单位，不得参加同一合同项下的政府采购活动；</w:t>
      </w:r>
    </w:p>
    <w:p>
      <w:pPr>
        <w:pStyle w:val="null3"/>
      </w:pPr>
      <w:r>
        <w:rPr>
          <w:rFonts w:ascii="仿宋_GB2312" w:hAnsi="仿宋_GB2312" w:cs="仿宋_GB2312" w:eastAsia="仿宋_GB2312"/>
        </w:rPr>
        <w:t>10、本项目不接受联合体投标：非联合体投标声明。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p>
      <w:pPr>
        <w:pStyle w:val="null3"/>
      </w:pPr>
      <w:r>
        <w:rPr>
          <w:rFonts w:ascii="仿宋_GB2312" w:hAnsi="仿宋_GB2312" w:cs="仿宋_GB2312" w:eastAsia="仿宋_GB2312"/>
        </w:rPr>
        <w:t>3、社会保障资金的证明：提供自2025年01月01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提供2025年01月01日以来已缴纳的至少一个月的纳税证明或完税证明（时间以税款所属日期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5、专业技术声明：具有履行合同所必需的设备和专业技术能力的书面声明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近六个月内任意一个月的养老保险缴纳证明）；</w:t>
      </w:r>
    </w:p>
    <w:p>
      <w:pPr>
        <w:pStyle w:val="null3"/>
      </w:pPr>
      <w:r>
        <w:rPr>
          <w:rFonts w:ascii="仿宋_GB2312" w:hAnsi="仿宋_GB2312" w:cs="仿宋_GB2312" w:eastAsia="仿宋_GB2312"/>
        </w:rPr>
        <w:t>8、药品经营许可证：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p>
      <w:pPr>
        <w:pStyle w:val="null3"/>
      </w:pPr>
      <w:r>
        <w:rPr>
          <w:rFonts w:ascii="仿宋_GB2312" w:hAnsi="仿宋_GB2312" w:cs="仿宋_GB2312" w:eastAsia="仿宋_GB2312"/>
        </w:rPr>
        <w:t>9、控股关系声明：单位负责人为同一人或存在直接控股、管理关系的不同单位，不得参加同一合同项下的政府采购活动；</w:t>
      </w:r>
    </w:p>
    <w:p>
      <w:pPr>
        <w:pStyle w:val="null3"/>
      </w:pPr>
      <w:r>
        <w:rPr>
          <w:rFonts w:ascii="仿宋_GB2312" w:hAnsi="仿宋_GB2312" w:cs="仿宋_GB2312" w:eastAsia="仿宋_GB2312"/>
        </w:rPr>
        <w:t>10、本项目不接受联合体投标：非联合体投标声明。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陕西省西安市西华门大街4号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采购包1：6,205,658.40元</w:t>
            </w:r>
          </w:p>
          <w:p>
            <w:pPr>
              <w:pStyle w:val="null3"/>
            </w:pPr>
            <w:r>
              <w:rPr>
                <w:rFonts w:ascii="仿宋_GB2312" w:hAnsi="仿宋_GB2312" w:cs="仿宋_GB2312" w:eastAsia="仿宋_GB2312"/>
              </w:rPr>
              <w:t>采购包2：6,343,358.40元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开户银行：招商银行西安枫林绿洲支行（转账事由填写：省中医260包X保证金）</w:t>
            </w:r>
          </w:p>
          <w:p>
            <w:pPr>
              <w:pStyle w:val="null3"/>
            </w:pPr>
            <w:r>
              <w:rPr>
                <w:rFonts w:ascii="仿宋_GB2312" w:hAnsi="仿宋_GB2312" w:cs="仿宋_GB2312" w:eastAsia="仿宋_GB2312"/>
              </w:rPr>
              <w:t>银行账号：1299 0649 2210 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收费标准下浮30%，向采购代理机构一次付清代理服务费。 服务费请中标方转入以下收款账户（此账号只接受对公转账）： 户名：陕西万泽招标有限公司； 账户：2110 1158 0000 0154 89； 开户行：西安银行朝阳门支行；转账事由备注：省中医260包X服务费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采购人以国家相应的标准、规范等为依据，按照招标文件要求、投标文件及合同约定执行，自行验收。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采购人以国家相应的标准、规范等为依据，按照招标文件要求、投标文件及合同约定执行，自行验收。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直接口服类及特殊类中药饮片招标采购项目（D），包含直接口服中药饮片14种及特殊中药饮片8种。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6,205,658.40</w:t>
      </w:r>
    </w:p>
    <w:p>
      <w:pPr>
        <w:pStyle w:val="null3"/>
      </w:pPr>
      <w:r>
        <w:rPr>
          <w:rFonts w:ascii="仿宋_GB2312" w:hAnsi="仿宋_GB2312" w:cs="仿宋_GB2312" w:eastAsia="仿宋_GB2312"/>
        </w:rPr>
        <w:t>采购包最高限价（元）: 6,205,658.40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直接口服中药饮片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6,205,658.40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6,343,358.40</w:t>
      </w:r>
    </w:p>
    <w:p>
      <w:pPr>
        <w:pStyle w:val="null3"/>
      </w:pPr>
      <w:r>
        <w:rPr>
          <w:rFonts w:ascii="仿宋_GB2312" w:hAnsi="仿宋_GB2312" w:cs="仿宋_GB2312" w:eastAsia="仿宋_GB2312"/>
        </w:rPr>
        <w:t>采购包最高限价（元）: 6,343,358.40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特殊中药饮片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6,343,358.40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标的名称：直接口服中药饮片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标的名称：直接口服中药饮片</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251"/>
              <w:gridCol w:w="2051"/>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46"/>
                    <w:gridCol w:w="368"/>
                    <w:gridCol w:w="246"/>
                    <w:gridCol w:w="547"/>
                    <w:gridCol w:w="428"/>
                  </w:tblGrid>
                  <w:tr>
                    <w:tc>
                      <w:tcPr>
                        <w:tcW w:type="dxa" w:w="183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直接口服中药饮片采购预算</w:t>
                        </w:r>
                      </w:p>
                    </w:tc>
                  </w:tr>
                  <w:tr>
                    <w:tc>
                      <w:tcPr>
                        <w:tcW w:type="dxa" w:w="2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品名</w:t>
                        </w:r>
                      </w:p>
                    </w:tc>
                    <w:tc>
                      <w:tcPr>
                        <w:tcW w:type="dxa" w:w="2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w:t>
                        </w:r>
                      </w:p>
                      <w:p>
                        <w:pPr>
                          <w:pStyle w:val="null3"/>
                          <w:jc w:val="center"/>
                        </w:pPr>
                        <w:r>
                          <w:rPr>
                            <w:rFonts w:ascii="仿宋_GB2312" w:hAnsi="仿宋_GB2312" w:cs="仿宋_GB2312" w:eastAsia="仿宋_GB2312"/>
                            <w:sz w:val="20"/>
                            <w:b/>
                            <w:color w:val="000000"/>
                          </w:rPr>
                          <w:t>(限价)</w:t>
                        </w:r>
                      </w:p>
                    </w:tc>
                    <w:tc>
                      <w:tcPr>
                        <w:tcW w:type="dxa" w:w="4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每月</w:t>
                        </w:r>
                      </w:p>
                      <w:p>
                        <w:pPr>
                          <w:pStyle w:val="null3"/>
                          <w:jc w:val="center"/>
                        </w:pPr>
                        <w:r>
                          <w:rPr>
                            <w:rFonts w:ascii="仿宋_GB2312" w:hAnsi="仿宋_GB2312" w:cs="仿宋_GB2312" w:eastAsia="仿宋_GB2312"/>
                            <w:sz w:val="20"/>
                            <w:b/>
                            <w:color w:val="000000"/>
                          </w:rPr>
                          <w:t>销量</w:t>
                        </w:r>
                      </w:p>
                      <w:p>
                        <w:pPr>
                          <w:pStyle w:val="null3"/>
                          <w:jc w:val="center"/>
                        </w:pPr>
                      </w:p>
                    </w:tc>
                  </w:tr>
                  <w:tr>
                    <w:tc>
                      <w:tcPr>
                        <w:tcW w:type="dxa" w:w="246"/>
                        <w:vMerge/>
                        <w:tcBorders>
                          <w:top w:val="none" w:color="000000" w:sz="4"/>
                          <w:left w:val="single" w:color="000000" w:sz="4"/>
                          <w:bottom w:val="single" w:color="000000" w:sz="4"/>
                          <w:right w:val="single" w:color="000000" w:sz="4"/>
                        </w:tcBorders>
                      </w:tcPr>
                      <w:p/>
                    </w:tc>
                    <w:tc>
                      <w:tcPr>
                        <w:tcW w:type="dxa" w:w="368"/>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（元）</w:t>
                        </w:r>
                      </w:p>
                    </w:tc>
                    <w:tc>
                      <w:tcPr>
                        <w:tcW w:type="dxa" w:w="428"/>
                        <w:vMerge/>
                        <w:tcBorders>
                          <w:top w:val="singl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F西洋参</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F沉香</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F水牛角</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0.585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F琥珀</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F羚羊角粉（核心产品）</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125.665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F人参</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F熟三七</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F鹿茸</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F延胡索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F灵芝孢子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3.825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F红景天</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2.325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F紫河车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F蛤蚧</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9.165</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珍珠粉</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bl>
                <w:p>
                  <w:pPr>
                    <w:pStyle w:val="null3"/>
                    <w:jc w:val="left"/>
                  </w:pPr>
                  <w:r>
                    <w:rPr>
                      <w:rFonts w:ascii="仿宋_GB2312" w:hAnsi="仿宋_GB2312" w:cs="仿宋_GB2312" w:eastAsia="仿宋_GB2312"/>
                      <w:sz w:val="21"/>
                    </w:rPr>
                    <w:t>质量要求</w:t>
                  </w:r>
                </w:p>
                <w:p>
                  <w:pPr>
                    <w:pStyle w:val="null3"/>
                    <w:jc w:val="left"/>
                  </w:pPr>
                  <w:r>
                    <w:rPr>
                      <w:rFonts w:ascii="仿宋_GB2312" w:hAnsi="仿宋_GB2312" w:cs="仿宋_GB2312" w:eastAsia="仿宋_GB2312"/>
                      <w:sz w:val="21"/>
                    </w:rPr>
                    <w:t>（一）产品应符合《中华人民共和国药典》（现行版）（简称：《中国药典》）或省级炮制规范及中药饮片标准。随货需提供加盖企业质量检验专用章的检验报告书、随货同行单等。鼓励投标人提供中药材全产业链质量追溯信息。</w:t>
                  </w:r>
                </w:p>
                <w:p>
                  <w:pPr>
                    <w:pStyle w:val="null3"/>
                    <w:jc w:val="left"/>
                  </w:pPr>
                  <w:r>
                    <w:rPr>
                      <w:rFonts w:ascii="仿宋_GB2312" w:hAnsi="仿宋_GB2312" w:cs="仿宋_GB2312" w:eastAsia="仿宋_GB2312"/>
                      <w:sz w:val="21"/>
                    </w:rPr>
                    <w:t>（二）投标人应确保所投品种中药材基源（物种）清晰、准确，并在投标文件中提供相应的说明或证明（格式自拟）。细粉应无虫蛀、无霉变、无走油。</w:t>
                  </w:r>
                  <w:r>
                    <w:rPr>
                      <w:rFonts w:ascii="仿宋_GB2312" w:hAnsi="仿宋_GB2312" w:cs="仿宋_GB2312" w:eastAsia="仿宋_GB2312"/>
                      <w:sz w:val="21"/>
                    </w:rPr>
                    <w:t>①饮片性状（形状、大小、色泽、表面特征、气味等），②饮片有效性指标（标志性成分含量、浸出物含量等），③饮片纯度指标（水分、总灰分、酸不溶性灰分等），④饮片安全指标（硫化物、重金属及农药残留含量等）等检查项目应符合该品种《中国药典》现行版或省级炮制规范及中药饮片标准的描述及规定。</w:t>
                  </w:r>
                </w:p>
                <w:p>
                  <w:pPr>
                    <w:pStyle w:val="null3"/>
                    <w:jc w:val="left"/>
                  </w:pPr>
                  <w:r>
                    <w:rPr>
                      <w:rFonts w:ascii="仿宋_GB2312" w:hAnsi="仿宋_GB2312" w:cs="仿宋_GB2312" w:eastAsia="仿宋_GB2312"/>
                      <w:sz w:val="21"/>
                    </w:rPr>
                    <w:t>（三）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jc w:val="left"/>
                  </w:pPr>
                  <w:r>
                    <w:rPr>
                      <w:rFonts w:ascii="仿宋_GB2312" w:hAnsi="仿宋_GB2312" w:cs="仿宋_GB2312" w:eastAsia="仿宋_GB2312"/>
                      <w:sz w:val="21"/>
                    </w:rPr>
                    <w:t>（四）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jc w:val="left"/>
                  </w:pPr>
                  <w:r>
                    <w:rPr>
                      <w:rFonts w:ascii="仿宋_GB2312" w:hAnsi="仿宋_GB2312" w:cs="仿宋_GB2312" w:eastAsia="仿宋_GB2312"/>
                      <w:sz w:val="21"/>
                    </w:rPr>
                    <w:t>（五）投标报价应包含可能会产生的饮片邮寄配送费用。</w:t>
                  </w:r>
                </w:p>
                <w:p>
                  <w:pPr>
                    <w:pStyle w:val="null3"/>
                    <w:jc w:val="left"/>
                  </w:pPr>
                  <w:r>
                    <w:rPr>
                      <w:rFonts w:ascii="仿宋_GB2312" w:hAnsi="仿宋_GB2312" w:cs="仿宋_GB2312" w:eastAsia="仿宋_GB2312"/>
                      <w:sz w:val="21"/>
                    </w:rPr>
                    <w:t>（六）供应商制定服务方案，促进医院中医药学科高水平发展，保证服务方案的履行，方案内容包括但不限于人员人才支持、调剂工具支持。</w:t>
                  </w:r>
                </w:p>
                <w:p>
                  <w:pPr>
                    <w:pStyle w:val="null3"/>
                    <w:jc w:val="left"/>
                  </w:pPr>
                  <w:r>
                    <w:rPr>
                      <w:rFonts w:ascii="仿宋_GB2312" w:hAnsi="仿宋_GB2312" w:cs="仿宋_GB2312" w:eastAsia="仿宋_GB2312"/>
                      <w:sz w:val="21"/>
                    </w:rPr>
                    <w:t>（七）具备所投产品的仓储能力。</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标的名称：特殊中药饮片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采购包</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供应商报价不允许超过标的金额</w:t>
            </w:r>
          </w:p>
          <w:p>
            <w:pPr>
              <w:pStyle w:val="null3"/>
              <w:jc w:val="both"/>
            </w:pPr>
            <w:r>
              <w:rPr>
                <w:rFonts w:ascii="仿宋_GB2312" w:hAnsi="仿宋_GB2312" w:cs="仿宋_GB2312" w:eastAsia="仿宋_GB2312"/>
                <w:sz w:val="21"/>
              </w:rPr>
              <w:t>（招单价的）供应商报价不允许超过标的单价</w:t>
            </w:r>
          </w:p>
          <w:p>
            <w:pPr>
              <w:pStyle w:val="null3"/>
              <w:jc w:val="both"/>
            </w:pPr>
            <w:r>
              <w:rPr>
                <w:rFonts w:ascii="仿宋_GB2312" w:hAnsi="仿宋_GB2312" w:cs="仿宋_GB2312" w:eastAsia="仿宋_GB2312"/>
                <w:sz w:val="21"/>
              </w:rPr>
              <w:t>标的名称：特殊中药饮片</w:t>
            </w:r>
          </w:p>
          <w:tbl>
            <w:tblPr>
              <w:tblBorders>
                <w:top w:val="none" w:color="000000" w:sz="4"/>
                <w:left w:val="none" w:color="000000" w:sz="4"/>
                <w:bottom w:val="none" w:color="000000" w:sz="4"/>
                <w:right w:val="none" w:color="000000" w:sz="4"/>
                <w:insideH w:val="none"/>
                <w:insideV w:val="none"/>
              </w:tblBorders>
            </w:tblPr>
            <w:tblGrid>
              <w:gridCol w:w="251"/>
              <w:gridCol w:w="251"/>
              <w:gridCol w:w="2051"/>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47"/>
                    <w:gridCol w:w="367"/>
                    <w:gridCol w:w="306"/>
                    <w:gridCol w:w="488"/>
                    <w:gridCol w:w="427"/>
                  </w:tblGrid>
                  <w:tr>
                    <w:tc>
                      <w:tcPr>
                        <w:tcW w:type="dxa" w:w="183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rPr>
                          <w:t>药学部特殊中药饮片采购预算</w:t>
                        </w:r>
                      </w:p>
                    </w:tc>
                  </w:tr>
                  <w:tr>
                    <w:tc>
                      <w:tcPr>
                        <w:tcW w:type="dxa" w:w="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品名</w:t>
                        </w:r>
                      </w:p>
                    </w:tc>
                    <w:tc>
                      <w:tcPr>
                        <w:tcW w:type="dxa" w:w="3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w:t>
                        </w:r>
                        <w:r>
                          <w:rPr>
                            <w:rFonts w:ascii="仿宋_GB2312" w:hAnsi="仿宋_GB2312" w:cs="仿宋_GB2312" w:eastAsia="仿宋_GB2312"/>
                            <w:sz w:val="20"/>
                            <w:b/>
                            <w:color w:val="000000"/>
                          </w:rPr>
                          <w:t>(限价)</w:t>
                        </w:r>
                      </w:p>
                    </w:tc>
                    <w:tc>
                      <w:tcPr>
                        <w:tcW w:type="dxa" w:w="4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每月销量</w:t>
                        </w:r>
                      </w:p>
                      <w:p>
                        <w:pPr>
                          <w:pStyle w:val="null3"/>
                          <w:jc w:val="center"/>
                        </w:pPr>
                        <w:r>
                          <w:rPr>
                            <w:rFonts w:ascii="仿宋_GB2312" w:hAnsi="仿宋_GB2312" w:cs="仿宋_GB2312" w:eastAsia="仿宋_GB2312"/>
                            <w:sz w:val="20"/>
                            <w:b/>
                            <w:color w:val="000000"/>
                          </w:rPr>
                          <w:t>（参考）</w:t>
                        </w:r>
                      </w:p>
                    </w:tc>
                  </w:tr>
                  <w:tr>
                    <w:tc>
                      <w:tcPr>
                        <w:tcW w:type="dxa" w:w="247"/>
                        <w:vMerge/>
                        <w:tcBorders>
                          <w:top w:val="none" w:color="000000" w:sz="4"/>
                          <w:left w:val="single" w:color="000000" w:sz="4"/>
                          <w:bottom w:val="single" w:color="000000" w:sz="4"/>
                          <w:right w:val="single" w:color="000000" w:sz="4"/>
                        </w:tcBorders>
                      </w:tcPr>
                      <w:p/>
                    </w:tc>
                    <w:tc>
                      <w:tcPr>
                        <w:tcW w:type="dxa" w:w="367"/>
                        <w:vMerge/>
                        <w:tcBorders>
                          <w:top w:val="single" w:color="000000" w:sz="4"/>
                          <w:left w:val="none" w:color="000000" w:sz="4"/>
                          <w:bottom w:val="single" w:color="000000" w:sz="4"/>
                          <w:right w:val="single" w:color="000000" w:sz="4"/>
                        </w:tcBorders>
                      </w:tcPr>
                      <w:p/>
                    </w:tc>
                    <w:tc>
                      <w:tcPr>
                        <w:tcW w:type="dxa" w:w="306"/>
                        <w:vMerge/>
                        <w:tcBorders>
                          <w:top w:val="single" w:color="000000" w:sz="4"/>
                          <w:left w:val="none" w:color="000000" w:sz="4"/>
                          <w:bottom w:val="single" w:color="000000" w:sz="4"/>
                          <w:right w:val="single" w:color="000000" w:sz="4"/>
                        </w:tcBorders>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（元）</w:t>
                        </w:r>
                      </w:p>
                    </w:tc>
                    <w:tc>
                      <w:tcPr>
                        <w:tcW w:type="dxa" w:w="427"/>
                        <w:vMerge/>
                        <w:tcBorders>
                          <w:top w:val="single" w:color="000000" w:sz="4"/>
                          <w:left w:val="none" w:color="000000" w:sz="4"/>
                          <w:bottom w:val="single" w:color="000000" w:sz="4"/>
                          <w:right w:val="single" w:color="000000" w:sz="4"/>
                        </w:tcBorders>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沉香曲</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368.4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红曲</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kg</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冰片</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kg/包</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胆南星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kg</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b/>
                            <w:color w:val="000000"/>
                          </w:rPr>
                          <w:t>龙血竭</w:t>
                        </w:r>
                      </w:p>
                      <w:p>
                        <w:pPr>
                          <w:pStyle w:val="null3"/>
                          <w:jc w:val="center"/>
                        </w:pPr>
                        <w:r>
                          <w:rPr>
                            <w:rFonts w:ascii="仿宋_GB2312" w:hAnsi="仿宋_GB2312" w:cs="仿宋_GB2312" w:eastAsia="仿宋_GB2312"/>
                            <w:sz w:val="20"/>
                            <w:b/>
                            <w:color w:val="000000"/>
                          </w:rPr>
                          <w:t>（核心产品）</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人工麝香</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g</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1188</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青钱柳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10g</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F赶黄草</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bl>
                <w:p>
                  <w:pPr>
                    <w:pStyle w:val="null3"/>
                    <w:jc w:val="left"/>
                  </w:pPr>
                  <w:r>
                    <w:rPr>
                      <w:rFonts w:ascii="仿宋_GB2312" w:hAnsi="仿宋_GB2312" w:cs="仿宋_GB2312" w:eastAsia="仿宋_GB2312"/>
                      <w:sz w:val="21"/>
                    </w:rPr>
                    <w:t>质量要求：</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沉香曲、红曲、冰片、胆南星、龙血竭、人工麝香</w:t>
                  </w:r>
                  <w:r>
                    <w:rPr>
                      <w:rFonts w:ascii="仿宋_GB2312" w:hAnsi="仿宋_GB2312" w:cs="仿宋_GB2312" w:eastAsia="仿宋_GB2312"/>
                      <w:sz w:val="21"/>
                    </w:rPr>
                    <w:t>应提供符合国家批准文号管理的中药饮片</w:t>
                  </w:r>
                  <w:r>
                    <w:rPr>
                      <w:rFonts w:ascii="仿宋_GB2312" w:hAnsi="仿宋_GB2312" w:cs="仿宋_GB2312" w:eastAsia="仿宋_GB2312"/>
                      <w:sz w:val="21"/>
                    </w:rPr>
                    <w:t>(国药准字号产品)，提供注册批件及质量标准复印件并加盖公章;青钱柳、赶黄草应提供符合《中华人民共和国药典》(现行版)或省级炮制规范及中药饮片标准等法定标准要求。</w:t>
                  </w:r>
                  <w:r>
                    <w:rPr>
                      <w:rFonts w:ascii="仿宋_GB2312" w:hAnsi="仿宋_GB2312" w:cs="仿宋_GB2312" w:eastAsia="仿宋_GB2312"/>
                      <w:sz w:val="21"/>
                    </w:rPr>
                    <w:t>随货需提供加盖企业质量检验专用章的检验报告书、随货同行单等。鼓励投标人提供中药材全产业链质量追溯信息。</w:t>
                  </w:r>
                </w:p>
                <w:p>
                  <w:pPr>
                    <w:pStyle w:val="null3"/>
                    <w:jc w:val="left"/>
                  </w:pPr>
                  <w:r>
                    <w:rPr>
                      <w:rFonts w:ascii="仿宋_GB2312" w:hAnsi="仿宋_GB2312" w:cs="仿宋_GB2312" w:eastAsia="仿宋_GB2312"/>
                      <w:sz w:val="21"/>
                    </w:rPr>
                    <w:t>（二）投标人应确保所投品种中药材基源（物种）清晰、准确，并在投标文件中提供相应的说明或证明（格式自拟）。饮片应无虫蛀、无霉变、无走油。</w:t>
                  </w:r>
                  <w:r>
                    <w:rPr>
                      <w:rFonts w:ascii="仿宋_GB2312" w:hAnsi="仿宋_GB2312" w:cs="仿宋_GB2312" w:eastAsia="仿宋_GB2312"/>
                      <w:sz w:val="21"/>
                    </w:rPr>
                    <w:t>①饮片性状（形状、大小、色泽、表面特征、气味等），②饮片有效性指标（标志性成分含量、浸出物含量等），③饮片纯度指标（水分、总灰分、酸不溶性灰分等），④饮片安全指标（硫化物、重金属及农药残留含量等）等检查项目应符合该</w:t>
                  </w:r>
                  <w:r>
                    <w:rPr>
                      <w:rFonts w:ascii="仿宋_GB2312" w:hAnsi="仿宋_GB2312" w:cs="仿宋_GB2312" w:eastAsia="仿宋_GB2312"/>
                      <w:sz w:val="21"/>
                    </w:rPr>
                    <w:t xml:space="preserve">  </w:t>
                  </w:r>
                  <w:r>
                    <w:rPr>
                      <w:rFonts w:ascii="仿宋_GB2312" w:hAnsi="仿宋_GB2312" w:cs="仿宋_GB2312" w:eastAsia="仿宋_GB2312"/>
                      <w:sz w:val="21"/>
                    </w:rPr>
                    <w:t>品种《中国药典》现行版或省级炮制规范及中药饮片标准的描述及规定。</w:t>
                  </w:r>
                </w:p>
                <w:p>
                  <w:pPr>
                    <w:pStyle w:val="null3"/>
                    <w:jc w:val="left"/>
                  </w:pPr>
                  <w:r>
                    <w:rPr>
                      <w:rFonts w:ascii="仿宋_GB2312" w:hAnsi="仿宋_GB2312" w:cs="仿宋_GB2312" w:eastAsia="仿宋_GB2312"/>
                      <w:sz w:val="21"/>
                    </w:rPr>
                    <w:t>（三）涉及《国家重点保护野生动物名录》或相关法律法规规定野生动物物种制成的中药饮片，其包装和标识必须符合由国家药品监督管理局发布实施的《中药饮片标签管理规定》。炮制后的毒性中药饮片须确保毒性成分含量精确控制在安全范围内。</w:t>
                  </w:r>
                </w:p>
                <w:p>
                  <w:pPr>
                    <w:pStyle w:val="null3"/>
                    <w:jc w:val="left"/>
                  </w:pPr>
                  <w:r>
                    <w:rPr>
                      <w:rFonts w:ascii="仿宋_GB2312" w:hAnsi="仿宋_GB2312" w:cs="仿宋_GB2312" w:eastAsia="仿宋_GB2312"/>
                      <w:sz w:val="21"/>
                    </w:rPr>
                    <w:t>（四）饮片包装须防止污染和破损，包装袋（箱）上须注明：品名、规格、产地、批号、生产日期、有效期、生产企业、质量合格标志等符合国家相关规定。标签内容应完整、规范，字迹清晰。对品名等重要信息应采用加粗字体或显著标识，确保在运输、存储及验收过程中易于识别。投标人应承诺在运输过程中提供符合饮片质量要求的条件，有效防止污染、变质，并保证在交付时饮片质量仍符合标准。</w:t>
                  </w:r>
                </w:p>
                <w:p>
                  <w:pPr>
                    <w:pStyle w:val="null3"/>
                    <w:jc w:val="left"/>
                  </w:pPr>
                  <w:r>
                    <w:rPr>
                      <w:rFonts w:ascii="仿宋_GB2312" w:hAnsi="仿宋_GB2312" w:cs="仿宋_GB2312" w:eastAsia="仿宋_GB2312"/>
                      <w:sz w:val="21"/>
                    </w:rPr>
                    <w:t>（五）投标报价应包含可能会产生的饮片邮寄配送费用。</w:t>
                  </w:r>
                </w:p>
                <w:p>
                  <w:pPr>
                    <w:pStyle w:val="null3"/>
                    <w:jc w:val="left"/>
                  </w:pPr>
                  <w:r>
                    <w:rPr>
                      <w:rFonts w:ascii="仿宋_GB2312" w:hAnsi="仿宋_GB2312" w:cs="仿宋_GB2312" w:eastAsia="仿宋_GB2312"/>
                      <w:sz w:val="21"/>
                    </w:rPr>
                    <w:t>（六）供应商制定服务方案，促进医院中医药学科高水平发展，保证服务方案的履行，方案内容包括但不限于人员人才支持、调剂工具支持。</w:t>
                  </w:r>
                </w:p>
                <w:p>
                  <w:pPr>
                    <w:pStyle w:val="null3"/>
                    <w:jc w:val="left"/>
                  </w:pPr>
                  <w:r>
                    <w:rPr>
                      <w:rFonts w:ascii="仿宋_GB2312" w:hAnsi="仿宋_GB2312" w:cs="仿宋_GB2312" w:eastAsia="仿宋_GB2312"/>
                      <w:sz w:val="21"/>
                    </w:rPr>
                    <w:t>（七）具备所投产品的仓储能力。</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自合同签订之日起，在接到甲方供货通知后配送时间一般应在48小时以内，特殊情况不超过72小时，最长不超过7天（须征得甲方同意）。节假日照常配送。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自合同签订之日起，在接到甲方供货通知后配送时间一般应在48小时以内，特殊情况不超过72小时，最长不超过7天（须征得甲方同意）。节假日照常配送。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采购方指定的交货地点。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采购方指定的交货地点。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待饮片送达甲方指定地点，根据初验结果进行入库、使用，在第九个月对第一个月饮片进行最终验收，第十个月对第二个月饮片进行最终验收，以此类推，最终验收合格后，对当月验收饮片进行据实结算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采购人以国家相应的标准、规范等为依据，按照招标文件要求、投标文件及合同约定执行，自行验收。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采购人以国家相应的标准、规范等为依据，按照招标文件要求、投标文件及合同约定执行，自行验收。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（1）药品有效期≥9个月，质保条件不得低于国家及行业主管部门制定的有关标准。质保期自验收合格之日起至药品有效期届满之日。 （2）中标人所投药品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3）中标人保证所供应的中药饮片杂质，如二氧化硫、农药残留、重金属含量等符合相关规定（每批次随货附质量报告单原件），如违反相关规定，视同严重违约并追究相关责任。经市级以上药品检验管理部门检测属实或遭电视、网络等媒体曝光的，由此造成的一切经济及法律责任由中标人负责。 （4）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5）当发生如下情况时，中标人须根据采购人要求无条件免费退换货：①.采购人发现饮片供应质量问题；②.采购人发现产品未按要求进行包装；③.药监部门发布需召回或厂家自主召回品种；④.其他：采购人认为有问题的情况。 （6）中标人须具有相关技术人员，中标人接到采购人售后咨询应在2小时内有专人答复，若需要现场解决应安排专人24小时内到达，售后服务方式均为中标人上门服务。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（1）药品有效期≥9个月，质保条件不得低于国家及行业主管部门制定的有关标准。质保期自验收合格之日起至药品有效期届满之日。 （2）中标人所投药品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3）中标人保证所供应的中药饮片杂质，如二氧化硫、农药残留、重金属含量等符合相关规定（每批次随货附质量报告单原件），如违反相关规定，视同严重违约并追究相关责任。经市级以上药品检验管理部门检测属实或遭电视、网络等媒体曝光的，由此造成的一切经济及法律责任由中标人负责。 （4）如果采购人在临床使用中发现中药饮片不符合质量要求（含出现严重的不良反应时），需要进行质量检验，则由采购人委托采购人所在地药检部门进行质量检验，并及时以书面形式把需要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5）当发生如下情况时，中标人须根据采购人要求无条件免费退换货：①.采购人发现饮片供应质量问题；②.采购人发现产品未按要求进行包装；③.药监部门发布需召回或厂家自主召回品种；④.其他：采购人认为有问题的情况。 （6）中标人须具有相关技术人员，中标人接到采购人售后咨询应在2小时内有专人答复，若需要现场解决应安排专人24小时内到达，售后服务方式均为中标人上门服务。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及省市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（5）在执行本合同中发生的或与本合同有关的争端，双方应通过友好协商解决，经协商在30天内不能达成协议时，应提交采购人所在地有管辖权的人民法院诉讼解决。 （6）在诉讼期间，除正在进行诉讼部分外，合同其他部分继续执行。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（1）因中药饮片质量问题引起医疗事故或纠纷，视同严重违约并追究相关责任，同时由此造成的一切经济及法律责任由中标人负责。 （2）中标人应按照国家有关法律、法规、规章和“三包”规定提供售后服务。售后服务及质保条件等不得低于国家和行业主管部门制定的有关标准。 （3）在合同执行期间，因国家政策发生变化，要求本项目采购标的部分或全部通过药品集中采购平台阳光采购、网上交易等采购的，按照国家及省市最新政策执行，本项目采购合同部分终止或全部自动终止；双方互不承担违约责任。 （4）总价已包含应向知识产权所有权人支付的所有相关税费，并保证采购人在中国使用中标人提供的货物时，如有第三方提出侵犯其知识产权主张的，责任由中标人承担。 （5）在执行本合同中发生的或与本合同有关的争端，双方应通过友好协商解决，经协商在30天内不能达成协议时，应提交采购人所在地有管辖权的人民法院诉讼解决。 （6）在诉讼期间，除正在进行诉讼部分外，合同其他部分继续执行。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1、合同期限：合同签订之日起1年 2、投标人应当按项目需求如实进行报价，杜绝弄虚作假，胡乱报价。 3、项目严禁各投标人进行恶意串通、恶意竞争或其它违规行为，一经查实将按照法规相关规定处理。 4、在发生特殊情况（如疫情等原料供应紧张）时，投标人需确保对采购人的供应服务不受影响。 5、中标人中标后须及时与采购人签订药品购销合同、采购廉洁协议、质量保证协议等，并严格履行。 6、双方签订合同后，中标人应及时进行供应服务，不得随意更改中药饮片供应价格；中标人应及时配合采购人进行药品的发票开具和药品对账工作，对于超过1个月不配合采购人开具发票和对账、药品账目反复多次出现问题等情况，采购人有权暂停其配送服务，暂停服务期间，相关药品采购人有权从其他采购包的中标人进行紧急调货。 7、中标人在履约期间内按采购人要求数量进行供货，最终根据实际供货数量据实结算。 8、因文件制式格式问题，支付约定以此为准： 采购包1： 付款条件说明：待饮片送达甲方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 采购包2： 付款条件说明：待饮片送达甲方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 9、支付说明： （1）供货方应按有关要求向采购方提交对已交易药品的发票等相关单据，以及合同规定的其他义务已经履行的证明。 （2）供货方向采购方提供的发票和有关单据不得违反国家税务机关等相关部门的规定，否则采购方有权拒付相应货款，供货方承担由此给采购方带来的一切损失。 （3）采购方验货确认后，核对交易单据及明细无误后，在收到供货方正式发票之日起按约定方式和时间向供货方付款。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提供自2025年01月01日以来至少一个月已缴纳的社会保障资金的证明（社会保障资金缴存单据或社保机构开具的社会保险参保缴费情况证明等）；依法不需要缴纳社会保障资金的投标人应提供相关文件证明；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提供2025年01月01日以来已缴纳的至少一个月的纳税证明或完税证明（时间以税款所属日期为准），纳税证明或完税证明上应有代收机构或税务机关的公章或业务专用章。依法免税的投标人应提供相关文件证明；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近六个月内任意一个月的养老保险缴纳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药品经营许可证</w:t>
            </w:r>
          </w:p>
        </w:tc>
        <w:tc>
          <w:tcPr>
            <w:tcW w:type="dxa" w:w="3322"/>
          </w:tcPr>
          <w:p>
            <w:pPr>
              <w:pStyle w:val="null3"/>
            </w:pPr>
            <w:r>
              <w:rPr>
                <w:rFonts w:ascii="仿宋_GB2312" w:hAnsi="仿宋_GB2312" w:cs="仿宋_GB2312" w:eastAsia="仿宋_GB2312"/>
              </w:rPr>
              <w:t>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提供自2025年01月01日以来至少一个月已缴纳的社会保障资金的证明（社会保障资金缴存单据或社保机构开具的社会保险参保缴费情况证明等）；依法不需要缴纳社会保障资金的投标人应提供相关文件证明；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提供2025年01月01日以来已缴纳的至少一个月的纳税证明或完税证明（时间以税款所属日期为准），纳税证明或完税证明上应有代收机构或税务机关的公章或业务专用章。依法免税的投标人应提供相关文件证明；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近六个月内任意一个月的养老保险缴纳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药品经营许可证</w:t>
            </w:r>
          </w:p>
        </w:tc>
        <w:tc>
          <w:tcPr>
            <w:tcW w:type="dxa" w:w="3322"/>
          </w:tcPr>
          <w:p>
            <w:pPr>
              <w:pStyle w:val="null3"/>
            </w:pPr>
            <w:r>
              <w:rPr>
                <w:rFonts w:ascii="仿宋_GB2312" w:hAnsi="仿宋_GB2312" w:cs="仿宋_GB2312" w:eastAsia="仿宋_GB2312"/>
              </w:rPr>
              <w:t>投标人须具备有效的《药品经营许可证》。若投标产品（或其任何组成部分）属于《国家重点保护野生动物名录》或相关法律法规规定的野生动物物种制成的饮片，投标人必须提供该物种对应的、有效的林业主管部门核发的相关行政许可文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开标一览表及分项报价.docx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投标文件的签署及盖章</w:t>
            </w:r>
          </w:p>
        </w:tc>
        <w:tc>
          <w:tcPr>
            <w:tcW w:type="dxa" w:w="3322"/>
          </w:tcPr>
          <w:p>
            <w:pPr>
              <w:pStyle w:val="null3"/>
            </w:pPr>
            <w:r>
              <w:rPr>
                <w:rFonts w:ascii="仿宋_GB2312" w:hAnsi="仿宋_GB2312" w:cs="仿宋_GB2312" w:eastAsia="仿宋_GB2312"/>
              </w:rPr>
              <w:t>投标文件按招标文件要求签署及盖章</w:t>
            </w:r>
          </w:p>
        </w:tc>
        <w:tc>
          <w:tcPr>
            <w:tcW w:type="dxa" w:w="1661"/>
          </w:tcPr>
          <w:p>
            <w:pPr>
              <w:pStyle w:val="null3"/>
            </w:pPr>
            <w:r>
              <w:rPr>
                <w:rFonts w:ascii="仿宋_GB2312" w:hAnsi="仿宋_GB2312" w:cs="仿宋_GB2312" w:eastAsia="仿宋_GB2312"/>
              </w:rPr>
              <w:t>开标一览表 中小企业声明函 项目实施方案及业绩情况表.docx 承诺书.docx 商务应答表.docx 投标人应提交的相关资格证明文件.docx 投标函 投标保证金缴纳凭证.docx 残疾人福利性单位声明函 开标一览表及分项报价.docx 质量要求应答表.docx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报价未超过招标文件中规定的预算金额或者最高单价限价(合格)，报价超过招标文件中规定的预算金额或者最高单价限价(不合格)</w:t>
            </w:r>
          </w:p>
        </w:tc>
        <w:tc>
          <w:tcPr>
            <w:tcW w:type="dxa" w:w="1661"/>
          </w:tcPr>
          <w:p>
            <w:pPr>
              <w:pStyle w:val="null3"/>
            </w:pPr>
            <w:r>
              <w:rPr>
                <w:rFonts w:ascii="仿宋_GB2312" w:hAnsi="仿宋_GB2312" w:cs="仿宋_GB2312" w:eastAsia="仿宋_GB2312"/>
              </w:rPr>
              <w:t>开标一览表 开标一览表及分项报价.docx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按规定缴纳投标保证金的(合格)，未缴纳投标保证金或保证金缴纳少于招标文件要求(不合格)</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商务要求及其他要求条款不一致或增加了采购人难以接受的条款</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中小企业声明函 项目实施方案及业绩情况表.docx 承诺书.docx 商务应答表.docx 投标人应提交的相关资格证明文件.docx 投标函 投标保证金缴纳凭证.docx 残疾人福利性单位声明函 质量要求应答表.docx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开标一览表及分项报价.docx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投标文件的签署及盖章</w:t>
            </w:r>
          </w:p>
        </w:tc>
        <w:tc>
          <w:tcPr>
            <w:tcW w:type="dxa" w:w="3322"/>
          </w:tcPr>
          <w:p>
            <w:pPr>
              <w:pStyle w:val="null3"/>
            </w:pPr>
            <w:r>
              <w:rPr>
                <w:rFonts w:ascii="仿宋_GB2312" w:hAnsi="仿宋_GB2312" w:cs="仿宋_GB2312" w:eastAsia="仿宋_GB2312"/>
              </w:rPr>
              <w:t>投标文件按招标文件要求签署及盖章</w:t>
            </w:r>
          </w:p>
        </w:tc>
        <w:tc>
          <w:tcPr>
            <w:tcW w:type="dxa" w:w="1661"/>
          </w:tcPr>
          <w:p>
            <w:pPr>
              <w:pStyle w:val="null3"/>
            </w:pPr>
            <w:r>
              <w:rPr>
                <w:rFonts w:ascii="仿宋_GB2312" w:hAnsi="仿宋_GB2312" w:cs="仿宋_GB2312" w:eastAsia="仿宋_GB2312"/>
              </w:rPr>
              <w:t>开标一览表 中小企业声明函 项目实施方案及业绩情况表.docx 承诺书.docx 商务应答表.docx 投标人应提交的相关资格证明文件.docx 投标函 投标保证金缴纳凭证.docx 开标一览表及分项报价.docx 残疾人福利性单位声明函 质量要求应答表.docx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报价未超过招标文件中规定的预算金额或者最高单价限价(合格)，报价超过招标文件中规定的预算金额或者最高单价限价(不合格)</w:t>
            </w:r>
          </w:p>
        </w:tc>
        <w:tc>
          <w:tcPr>
            <w:tcW w:type="dxa" w:w="1661"/>
          </w:tcPr>
          <w:p>
            <w:pPr>
              <w:pStyle w:val="null3"/>
            </w:pPr>
            <w:r>
              <w:rPr>
                <w:rFonts w:ascii="仿宋_GB2312" w:hAnsi="仿宋_GB2312" w:cs="仿宋_GB2312" w:eastAsia="仿宋_GB2312"/>
              </w:rPr>
              <w:t>开标一览表 开标一览表及分项报价.docx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按规定缴纳投标保证金的(合格)，未缴纳投标保证金或保证金缴纳少于招标文件要求(不合格)</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商务要求及其他要求条款不一致或增加了采购人难以接受的条款</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中小企业声明函 项目实施方案及业绩情况表.docx 承诺书.docx 商务应答表.docx 投标人应提交的相关资格证明文件.docx 投标函 投标保证金缴纳凭证.docx 残疾人福利性单位声明函 质量要求应答表.docx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投标人提供质量保证相关管理体系、产品相关手续、管理专用标识证明文件、质检记录/流程并提供由药检机构或具备资质的实验室出具的质量检验报告。 完全满足，无瑕疵计5分；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针对本项目需求，投标人须具备饮片仓储能力和合理的仓储区域划分（如常温室、阴凉室、冷藏室），提供仓储地证明材料，包括但不限于实地照片、房产证明或房屋租赁合同、分区介绍等。在满足以上条件的基础上根据面积大小进行评分，最高计5分，其余依次递减0.5分，未提供或提供不全不计分。 备注：根据房产证明或房屋租赁合同显示数据为准。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药材可靠性证明</w:t>
            </w:r>
          </w:p>
        </w:tc>
        <w:tc>
          <w:tcPr>
            <w:tcW w:type="dxa" w:w="2492"/>
          </w:tcPr>
          <w:p>
            <w:pPr>
              <w:pStyle w:val="null3"/>
            </w:pPr>
            <w:r>
              <w:rPr>
                <w:rFonts w:ascii="仿宋_GB2312" w:hAnsi="仿宋_GB2312" w:cs="仿宋_GB2312" w:eastAsia="仿宋_GB2312"/>
              </w:rPr>
              <w:t>投标人提供所投全部产品渠道来源合法证明文件得4分，未提供或提供不全均不得分。 投标人提供所投全部中药饮片产品信息（含每种产品的产品名称、2025年任意一批批号、生产企业、生产日期、产地信息，执行标准）。完全提供得4分，未提供或提供不全均不得分。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①根据产品性状优劣计0-2分；外观优劣计0-2分；气味优劣计0-2分；触觉优劣计0-2分；味觉优劣计0-2分； ②提供样品对应的质检报告得5分，未提供或提供不全不得分。 2、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 3、样品包括：14种（F西洋参、F沉香、F水牛角、F琥珀、F羚羊角粉、F人参、F熟三七、F鹿茸、F延胡索、F灵芝孢子、F红景天、F紫河车、F蛤蚧、珍珠粉）；未提供或提供不全均不得分。 4、样品密封提交，样品提交时间同投标文件递交截止时间，样品递交地点：西安市唐延路旺座现代城C座2502室； 5、中标人样品作为验收依据转采购人接收，未中标人样品采购结果公示后五个工作日内退还。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投标人提供针对本项目有相应及时有效的配送方案（含配送人员、设备、运输车辆、配送的响应时间、配送信息管理等内容）。并附相关证明材料，根据响应情况进行赋分。 配送方案可操作性强、人员及运输车辆配备完善、响应速度快计4-6分；配送方案可行、人员及运输车辆配备基本完善、响应速度较快计2-4分；配送方案基本可行、有人员及运输车辆、响应速度一般计0-2分；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至少包含本采购包50%品类的同类项目合同（以合同签订日期为准），每提供1个得2分，最高得8分。备注：以合同签订时间为准，投标人提供完整合同复印件或扫描件，并提供对应合同得任意一张发票或银行对账单，未提供或提供不全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投标人针对本项目需求及以往类似项目经验，提供售后服务响应时间、售后人员安排、额外增值服务、调换货和退换货服务方案及质量保证承诺、并提供与采购人配合、跟踪服务的方案。 以上内容完全满足采购需求，无瑕疵计6分； 存在1处瑕疵计5分； 存在2处瑕疵计4分； 存在3处瑕疵计3分； 存在4处瑕疵计2分； 存在5处瑕疵计1分；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针对本项目需求，对可能出现的紧急情况，投标人提供总体应急方案及应急响应时间，并以往相关事例辅助说明。 根据投标人所提供的应急方案，横向对比，应急方案完善可操作性强，响应时间快计3-5分；应急方案可操作性强，响应时间较快计1-3分；有应急方案，响应时间一般计0-1分。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根据投标单位提供的质量要求响应情况，完全满足招标文件要求的得5分，质量要求每有1条参数负偏离扣1分，扣完为止。 说明： 1.未按招标文件要求提交“质量要求”本项不得分。 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投标人保证所投产品无假货、劣货的服务承诺，并承诺中标后实际供货与所投中药产品质量、规格完全一致。提供得2分，未提供不得分。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拟派技术团队</w:t>
            </w:r>
          </w:p>
        </w:tc>
        <w:tc>
          <w:tcPr>
            <w:tcW w:type="dxa" w:w="2492"/>
          </w:tcPr>
          <w:p>
            <w:pPr>
              <w:pStyle w:val="null3"/>
            </w:pPr>
            <w:r>
              <w:rPr>
                <w:rFonts w:ascii="仿宋_GB2312" w:hAnsi="仿宋_GB2312" w:cs="仿宋_GB2312" w:eastAsia="仿宋_GB2312"/>
              </w:rPr>
              <w:t>针对本项目需求，投标人应配备数量充足、经验丰富的技术人员及质检人员以保障饮片供货质量，提供拟派技术团队成员简历及相关证明材料，包括但不限于学历、证书、职称、相关经验证明等。根据投标人所提供团队成员简历及证明材料计分，技术人员数量充足，经验丰富计3-5分；技术人员数量较充足且有经验计1-3分；有技术人员但经验一般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投标人提供质量保证相关管理体系、产品相关手续、管理专用标识证明文件、质检记录/流程并提供由药检机构或具备资质的实验室出具的质量检验报告。 完全满足，无瑕疵计5分；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针对本项目需求，投标人须具备饮片仓储能力和合理的仓储区域划分（如常温室、阴凉室、冷藏室），提供仓储地证明材料，包括但不限于实地照片、房产证明或房屋租赁合同、分区介绍等。在满足以上条件的基础上根据面积大小进行评分，最高计5分，其余依次递减0.5分，未提供或提供不全不计分。 备注：根据房产证明或房屋租赁合同显示数据为准。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药材可靠性证明</w:t>
            </w:r>
          </w:p>
        </w:tc>
        <w:tc>
          <w:tcPr>
            <w:tcW w:type="dxa" w:w="2492"/>
          </w:tcPr>
          <w:p>
            <w:pPr>
              <w:pStyle w:val="null3"/>
            </w:pPr>
            <w:r>
              <w:rPr>
                <w:rFonts w:ascii="仿宋_GB2312" w:hAnsi="仿宋_GB2312" w:cs="仿宋_GB2312" w:eastAsia="仿宋_GB2312"/>
              </w:rPr>
              <w:t>投标人提供所投全部产品渠道来源合法证明文件得4分，未提供或提供不全均不得分。 投标人提供所投全部中药饮片产品信息（含每种产品的产品名称、2025年任意一批批号、生产企业、生产日期、产地信息，执行标准）。完全提供得4分，未提供或提供不全均不得分。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根据投标人提供的样品情况，通过对样品产地、等级、包装、产品性状、外观、气味、触觉、味觉等进行综合评审。 1、评审标准： ①根据产品性状优劣计0-2分；外观优劣计0-2分；气味优劣计0-2分；触觉优劣计0-2分；味觉优劣计0-2分； ②提供样品对应的质检报告得5分，未提供或提供不全不得分。 2、样品包装要求：按送货标准最小包装要求密封提交，并提供对应的样品清单明细表。包装表面粘贴有明确的标识，标识内容至少应包括：项目名称、项目编号、样品名称、产地规格、等级等内容。未按要求包装的样品采购代理机构有权拒绝接收。 3、样品包括：8种（沉香曲、红曲、冰片、胆南星、龙血竭、人工麝香、青钱柳、F赶黄草）；未提供或提供不全均不得分。 4、样品密封提交，样品提交时间同投标文件递交截止时间，样品递交地点：西安市唐延路旺座现代城C座2502室； 5、中标人样品作为验收依据转采购人接收，未中标人样品采购结果公示后五个工作日内退还。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投标人提供针对本项目有相应及时有效的配送方案（含配送人员、设备、运输车辆、配送的响应时间、配送信息管理等内容）。并附相关证明材料，根据响应情况进行赋分。 配送方案可操作性强、人员及运输车辆配备完善、响应速度快计4-6分；配送方案可行、人员及运输车辆配备基本完善、响应速度较快计2-4分；配送方案基本可行、有人员及运输车辆、响应速度一般计0-2分。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至少包含本采购包50%品类的同类项目合同（以合同签订日期为准），每提供1个得2分，最高得8分。备注：以合同签订时间为准，投标人提供完整合同复印件或扫描件，并提供对应合同得任意一张发票或银行对账单，未提供或提供不全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投标人针对本项目需求及以往类似项目经验，提供售后服务响应时间、售后人员安排、额外增值服务、调换货和退换货服务方案及质量保证承诺、并提供与采购人配合、跟踪服务的方案。 以上内容完全满足采购需求，无瑕疵计6分； 存在1处瑕疵计5分； 存在2处瑕疵计4分； 存在3处瑕疵计3分； 存在4处瑕疵计2分； 存在5处瑕疵计1分；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针对本项目需求，对可能出现的紧急情况，投标人提供总体应急方案及应急响应时间，并以往相关事例辅助说明。 根据投标人所提供的应急方案，横向对比，应急方案完善可操作性强，响应时间快计3-5分；应急方案可操作性强，响应时间较快计1-3分；有应急方案，响应时间一般计0-1分。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根据投标单位提供的质量要求响应情况，完全满足招标文件要求的得5分，质量要求每有1条参数负偏离扣1分，扣完为止。 说明： 1.未按招标文件要求提交“质量要求”本项不得分。 2.“质量要求”缺项、未按招标文件要求响应的，将视为此条不满足，视同负偏离处理。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投标人保证所投产品无假货、劣货的服务承诺，并承诺中标后实际供货与所投中药产品质量、规格完全一致。提供得2分，未提供不得分。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拟派技术团队</w:t>
            </w:r>
          </w:p>
        </w:tc>
        <w:tc>
          <w:tcPr>
            <w:tcW w:type="dxa" w:w="2492"/>
          </w:tcPr>
          <w:p>
            <w:pPr>
              <w:pStyle w:val="null3"/>
            </w:pPr>
            <w:r>
              <w:rPr>
                <w:rFonts w:ascii="仿宋_GB2312" w:hAnsi="仿宋_GB2312" w:cs="仿宋_GB2312" w:eastAsia="仿宋_GB2312"/>
              </w:rPr>
              <w:t>针对本项目需求，投标人应配备数量充足、经验丰富的技术人员及质检人员以保障饮片供货质量，提供拟派技术团队成员简历及相关证明材料，包括但不限于学历、证书、职称、相关经验证明等。根据投标人所提供团队成员简历及证明材料计分，技术人员数量充足，经验丰富计3-5分；技术人员数量较充足且有经验计1-3分；有技术人员但经验一般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详见附件：开标一览表及分项报价.docx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详见附件：质量要求应答表.docx</w:t>
      </w:r>
    </w:p>
    <w:p>
      <w:pPr>
        <w:pStyle w:val="null3"/>
        <w:ind w:firstLine="960"/>
      </w:pPr>
      <w:r>
        <w:rPr>
          <w:rFonts w:ascii="仿宋_GB2312" w:hAnsi="仿宋_GB2312" w:cs="仿宋_GB2312" w:eastAsia="仿宋_GB2312"/>
        </w:rPr>
        <w:t>详见附件：项目实施方案及业绩情况表.docx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详见附件：开标一览表及分项报价.docx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详见附件：质量要求应答表.docx</w:t>
      </w:r>
    </w:p>
    <w:p>
      <w:pPr>
        <w:pStyle w:val="null3"/>
        <w:ind w:firstLine="960"/>
      </w:pPr>
      <w:r>
        <w:rPr>
          <w:rFonts w:ascii="仿宋_GB2312" w:hAnsi="仿宋_GB2312" w:cs="仿宋_GB2312" w:eastAsia="仿宋_GB2312"/>
        </w:rPr>
        <w:t>详见附件：项目实施方案及业绩情况表.docx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详见附件：中药饮片配送合同.docx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