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版本号：KY2025-1-112820251127001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“人工智能+智能制造”数智化产教融合实践中心建设项目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KY2025-1-1128</w:t>
      </w:r>
      <w:r>
        <w:br/>
      </w:r>
      <w:r>
        <w:br/>
      </w:r>
      <w:r>
        <w:br/>
      </w:r>
    </w:p>
    <w:p>
      <w:pPr>
        <w:pStyle w:val="null3"/>
        <w:jc w:val="center"/>
        <w:outlineLvl w:val="2"/>
      </w:pPr>
      <w:r>
        <w:rPr>
          <w:rFonts w:ascii="仿宋_GB2312" w:hAnsi="仿宋_GB2312" w:cs="仿宋_GB2312" w:eastAsia="仿宋_GB2312"/>
          <w:sz w:val="28"/>
          <w:b/>
        </w:rPr>
        <w:t>陕西职业技术学院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陕西职业技术学院</w:t>
      </w:r>
      <w:r>
        <w:rPr>
          <w:rFonts w:ascii="仿宋_GB2312" w:hAnsi="仿宋_GB2312" w:cs="仿宋_GB2312" w:eastAsia="仿宋_GB2312"/>
        </w:rPr>
        <w:t>委托，拟对</w:t>
      </w:r>
      <w:r>
        <w:rPr>
          <w:rFonts w:ascii="仿宋_GB2312" w:hAnsi="仿宋_GB2312" w:cs="仿宋_GB2312" w:eastAsia="仿宋_GB2312"/>
        </w:rPr>
        <w:t>“人工智能+智能制造”数智化产教融合实践中心建设项目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KY2025-1-1128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“人工智能+智能制造”数智化产教融合实践中心建设项目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陕西职业技术学院“人工智能+智能制造”数智化产教融合实践中心建设项目，1批，具体内容详见招标文件第3章。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4、社会保障资金缴纳证明：提供2024年11月至今已缴存的至少一个月的社会保障资金缴存单据或社保机构开具的社会保险参保缴费情况证明，依法不需要缴纳社会保障资金的单位应提供相关证明材料。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西安市灞桥区狄寨路2028号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029-83325395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汪涛、韩婷、刘金柯、卢韶华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银行账号：86113010750181502000659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说明：1、履约保证金缴纳时间：中标后3日内需要缴纳履约保证金。未在规定时间内缴纳履约保证金视为拒签合同，自动放弃中标资格。 2、履约保证金缴纳形式：中标人应当以支票、汇票、本票、保函等非现金形式缴纳。 3、履约保证金的退还：在最终验收合格之日起满24个月后，采购人在收到供应商书面申请，经采购人确认供应商履行了合同约定的义务，无违约情形，一次性予以无息退还。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代理服务费收费标准：1、参见国家计委颁布的《招标代理服务收费管理暂行办法》（计价格[2002]1980号）规定的招标代理服务收费标准，按照中标金额差额定率累进法计算，按照标准的77%收取。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陕西职业技术学院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联系人：汪涛、韩婷、刘金柯、卢韶华</w:t>
      </w:r>
    </w:p>
    <w:p>
      <w:pPr>
        <w:pStyle w:val="null3"/>
      </w:pPr>
      <w:r>
        <w:rPr>
          <w:rFonts w:ascii="仿宋_GB2312" w:hAnsi="仿宋_GB2312" w:cs="仿宋_GB2312" w:eastAsia="仿宋_GB2312"/>
        </w:rPr>
        <w:t>联系电话：029-81206622-821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陕西职业技术学院“人工智能+智能制造”数智化产教融合实践中心建设项目，1批，具体内容详见招标文件第3章。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4,500,000.00</w:t>
      </w:r>
    </w:p>
    <w:p>
      <w:pPr>
        <w:pStyle w:val="null3"/>
      </w:pPr>
      <w:r>
        <w:rPr>
          <w:rFonts w:ascii="仿宋_GB2312" w:hAnsi="仿宋_GB2312" w:cs="仿宋_GB2312" w:eastAsia="仿宋_GB2312"/>
        </w:rPr>
        <w:t>采购包最高限价（元）: 4,500,000.00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数智化产教融合实践中心建设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数智化产教融合实践中心建设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数智化产教融合实践中心建设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标的名称：数智化产教融合实践中心建设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w:t>
            </w:r>
            <w:r>
              <w:rPr>
                <w:rFonts w:ascii="仿宋_GB2312" w:hAnsi="仿宋_GB2312" w:cs="仿宋_GB2312" w:eastAsia="仿宋_GB2312"/>
                <w:sz w:val="24"/>
                <w:b/>
              </w:rPr>
              <w:t>技术参数</w:t>
            </w:r>
          </w:p>
          <w:p>
            <w:pPr>
              <w:pStyle w:val="null3"/>
            </w:pPr>
            <w:r>
              <w:rPr>
                <w:rFonts w:ascii="仿宋_GB2312" w:hAnsi="仿宋_GB2312" w:cs="仿宋_GB2312" w:eastAsia="仿宋_GB2312"/>
                <w:sz w:val="24"/>
                <w:b/>
              </w:rPr>
              <w:t>（一）</w:t>
            </w:r>
          </w:p>
          <w:tbl>
            <w:tblPr>
              <w:tblBorders>
                <w:top w:val="none" w:color="000000" w:sz="4"/>
                <w:left w:val="none" w:color="000000" w:sz="4"/>
                <w:bottom w:val="none" w:color="000000" w:sz="4"/>
                <w:right w:val="none" w:color="000000" w:sz="4"/>
                <w:insideH w:val="none"/>
                <w:insideV w:val="none"/>
              </w:tblBorders>
            </w:tblPr>
            <w:tblGrid>
              <w:gridCol w:w="159"/>
              <w:gridCol w:w="446"/>
              <w:gridCol w:w="1483"/>
              <w:gridCol w:w="240"/>
              <w:gridCol w:w="225"/>
            </w:tblGrid>
            <w:tr>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1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人工智能图形算力实训平台及软件服务中心</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一、硬件配置</w:t>
                  </w:r>
                </w:p>
                <w:p>
                  <w:pPr>
                    <w:pStyle w:val="null3"/>
                    <w:jc w:val="both"/>
                  </w:pPr>
                  <w:r>
                    <w:rPr>
                      <w:rFonts w:ascii="仿宋_GB2312" w:hAnsi="仿宋_GB2312" w:cs="仿宋_GB2312" w:eastAsia="仿宋_GB2312"/>
                      <w:sz w:val="24"/>
                      <w:color w:val="000000"/>
                    </w:rPr>
                    <w:t>1.处理器：性能不低于I7-14700 2.1GHZ 20核；</w:t>
                  </w:r>
                </w:p>
                <w:p>
                  <w:pPr>
                    <w:pStyle w:val="null3"/>
                    <w:jc w:val="both"/>
                  </w:pPr>
                  <w:r>
                    <w:rPr>
                      <w:rFonts w:ascii="仿宋_GB2312" w:hAnsi="仿宋_GB2312" w:cs="仿宋_GB2312" w:eastAsia="仿宋_GB2312"/>
                      <w:sz w:val="24"/>
                      <w:color w:val="000000"/>
                    </w:rPr>
                    <w:t>2.主板：性能不低于Intel Q670芯片组；</w:t>
                  </w:r>
                </w:p>
                <w:p>
                  <w:pPr>
                    <w:pStyle w:val="null3"/>
                    <w:jc w:val="both"/>
                  </w:pPr>
                  <w:r>
                    <w:rPr>
                      <w:rFonts w:ascii="仿宋_GB2312" w:hAnsi="仿宋_GB2312" w:cs="仿宋_GB2312" w:eastAsia="仿宋_GB2312"/>
                      <w:sz w:val="24"/>
                      <w:color w:val="000000"/>
                    </w:rPr>
                    <w:t>3.内存：容量≥32G DDR5 5600MHZ,主板配置不少于四根内存条插槽，最大支持128G；</w:t>
                  </w:r>
                </w:p>
                <w:p>
                  <w:pPr>
                    <w:pStyle w:val="null3"/>
                    <w:jc w:val="both"/>
                  </w:pPr>
                  <w:r>
                    <w:rPr>
                      <w:rFonts w:ascii="仿宋_GB2312" w:hAnsi="仿宋_GB2312" w:cs="仿宋_GB2312" w:eastAsia="仿宋_GB2312"/>
                      <w:sz w:val="24"/>
                      <w:color w:val="000000"/>
                    </w:rPr>
                    <w:t>4.硬盘：配置1块≥1T固态硬盘，置1块≥1T机械硬盘；</w:t>
                  </w:r>
                </w:p>
                <w:p>
                  <w:pPr>
                    <w:pStyle w:val="null3"/>
                    <w:jc w:val="both"/>
                  </w:pPr>
                  <w:r>
                    <w:rPr>
                      <w:rFonts w:ascii="仿宋_GB2312" w:hAnsi="仿宋_GB2312" w:cs="仿宋_GB2312" w:eastAsia="仿宋_GB2312"/>
                      <w:sz w:val="24"/>
                      <w:color w:val="000000"/>
                    </w:rPr>
                    <w:t>5.显卡：性能不低于RTX3060显卡，显存≥8G；</w:t>
                  </w:r>
                </w:p>
                <w:p>
                  <w:pPr>
                    <w:pStyle w:val="null3"/>
                    <w:jc w:val="both"/>
                  </w:pPr>
                  <w:r>
                    <w:rPr>
                      <w:rFonts w:ascii="仿宋_GB2312" w:hAnsi="仿宋_GB2312" w:cs="仿宋_GB2312" w:eastAsia="仿宋_GB2312"/>
                      <w:sz w:val="24"/>
                      <w:color w:val="000000"/>
                    </w:rPr>
                    <w:t>6.网络：集成式千兆网卡；</w:t>
                  </w:r>
                </w:p>
                <w:p>
                  <w:pPr>
                    <w:pStyle w:val="null3"/>
                    <w:jc w:val="both"/>
                  </w:pPr>
                  <w:r>
                    <w:rPr>
                      <w:rFonts w:ascii="仿宋_GB2312" w:hAnsi="仿宋_GB2312" w:cs="仿宋_GB2312" w:eastAsia="仿宋_GB2312"/>
                      <w:sz w:val="24"/>
                      <w:color w:val="000000"/>
                    </w:rPr>
                    <w:t>7.扩展插槽：≥1个PCIE x16 ，2个PCIE x4；</w:t>
                  </w:r>
                </w:p>
                <w:p>
                  <w:pPr>
                    <w:pStyle w:val="null3"/>
                    <w:jc w:val="both"/>
                  </w:pPr>
                  <w:r>
                    <w:rPr>
                      <w:rFonts w:ascii="仿宋_GB2312" w:hAnsi="仿宋_GB2312" w:cs="仿宋_GB2312" w:eastAsia="仿宋_GB2312"/>
                      <w:sz w:val="24"/>
                      <w:color w:val="000000"/>
                    </w:rPr>
                    <w:t>8.机箱：免工具开启；</w:t>
                  </w:r>
                </w:p>
                <w:p>
                  <w:pPr>
                    <w:pStyle w:val="null3"/>
                    <w:jc w:val="both"/>
                  </w:pPr>
                  <w:r>
                    <w:rPr>
                      <w:rFonts w:ascii="仿宋_GB2312" w:hAnsi="仿宋_GB2312" w:cs="仿宋_GB2312" w:eastAsia="仿宋_GB2312"/>
                      <w:sz w:val="24"/>
                      <w:color w:val="000000"/>
                    </w:rPr>
                    <w:t>9.电源：额定功率≥550W；</w:t>
                  </w:r>
                </w:p>
                <w:p>
                  <w:pPr>
                    <w:pStyle w:val="null3"/>
                    <w:jc w:val="both"/>
                  </w:pPr>
                  <w:r>
                    <w:rPr>
                      <w:rFonts w:ascii="仿宋_GB2312" w:hAnsi="仿宋_GB2312" w:cs="仿宋_GB2312" w:eastAsia="仿宋_GB2312"/>
                      <w:sz w:val="24"/>
                      <w:color w:val="000000"/>
                    </w:rPr>
                    <w:t>10.接口：不低于8个USB接口，其中不少于1个Type-C接口，集成音频接口、VGA接口、HDMI接口、DP接口、RJ45网口；</w:t>
                  </w:r>
                </w:p>
                <w:p>
                  <w:pPr>
                    <w:pStyle w:val="null3"/>
                    <w:jc w:val="both"/>
                  </w:pPr>
                  <w:r>
                    <w:rPr>
                      <w:rFonts w:ascii="仿宋_GB2312" w:hAnsi="仿宋_GB2312" w:cs="仿宋_GB2312" w:eastAsia="仿宋_GB2312"/>
                      <w:sz w:val="24"/>
                      <w:color w:val="000000"/>
                    </w:rPr>
                    <w:t>11.配备有线键鼠；</w:t>
                  </w:r>
                </w:p>
                <w:p>
                  <w:pPr>
                    <w:pStyle w:val="null3"/>
                    <w:jc w:val="both"/>
                  </w:pPr>
                  <w:r>
                    <w:rPr>
                      <w:rFonts w:ascii="仿宋_GB2312" w:hAnsi="仿宋_GB2312" w:cs="仿宋_GB2312" w:eastAsia="仿宋_GB2312"/>
                      <w:sz w:val="24"/>
                      <w:color w:val="000000"/>
                    </w:rPr>
                    <w:t>12.显示器：≥27吋显示器；</w:t>
                  </w:r>
                </w:p>
                <w:p>
                  <w:pPr>
                    <w:pStyle w:val="null3"/>
                    <w:jc w:val="both"/>
                  </w:pPr>
                  <w:r>
                    <w:rPr>
                      <w:rFonts w:ascii="仿宋_GB2312" w:hAnsi="仿宋_GB2312" w:cs="仿宋_GB2312" w:eastAsia="仿宋_GB2312"/>
                      <w:sz w:val="24"/>
                      <w:b/>
                      <w:color w:val="000000"/>
                    </w:rPr>
                    <w:t>二、平台软件功能</w:t>
                  </w:r>
                </w:p>
                <w:p>
                  <w:pPr>
                    <w:pStyle w:val="null3"/>
                    <w:jc w:val="both"/>
                  </w:pPr>
                  <w:r>
                    <w:rPr>
                      <w:rFonts w:ascii="仿宋_GB2312" w:hAnsi="仿宋_GB2312" w:cs="仿宋_GB2312" w:eastAsia="仿宋_GB2312"/>
                      <w:sz w:val="24"/>
                      <w:color w:val="000000"/>
                    </w:rPr>
                    <w:t>1. 操作系统Windows为正版系统，且为专业版；正版办公自动化软件，终端支持部署多操作系统。预装</w:t>
                  </w:r>
                  <w:r>
                    <w:rPr>
                      <w:rFonts w:ascii="仿宋_GB2312" w:hAnsi="仿宋_GB2312" w:cs="仿宋_GB2312" w:eastAsia="仿宋_GB2312"/>
                      <w:sz w:val="24"/>
                      <w:color w:val="000000"/>
                    </w:rPr>
                    <w:t>Android Studio（正版）。</w:t>
                  </w:r>
                </w:p>
                <w:p>
                  <w:pPr>
                    <w:pStyle w:val="null3"/>
                    <w:jc w:val="both"/>
                  </w:pPr>
                  <w:r>
                    <w:rPr>
                      <w:rFonts w:ascii="仿宋_GB2312" w:hAnsi="仿宋_GB2312" w:cs="仿宋_GB2312" w:eastAsia="仿宋_GB2312"/>
                      <w:sz w:val="24"/>
                      <w:color w:val="000000"/>
                    </w:rPr>
                    <w:t>2. 硬盘空间智能调配，可以数据复用，解决及考试环境部署问题、多系统时硬盘容量不足的问题，可添加的多系统数量不少于24个及数据量不受硬盘空间限制。</w:t>
                  </w:r>
                </w:p>
                <w:p>
                  <w:pPr>
                    <w:pStyle w:val="null3"/>
                    <w:jc w:val="both"/>
                  </w:pPr>
                  <w:r>
                    <w:rPr>
                      <w:rFonts w:ascii="仿宋_GB2312" w:hAnsi="仿宋_GB2312" w:cs="仿宋_GB2312" w:eastAsia="仿宋_GB2312"/>
                      <w:sz w:val="24"/>
                      <w:color w:val="000000"/>
                    </w:rPr>
                    <w:t>3.实现设备的统一管理，预装云桌面。</w:t>
                  </w:r>
                </w:p>
                <w:p>
                  <w:pPr>
                    <w:pStyle w:val="null3"/>
                    <w:jc w:val="both"/>
                  </w:pPr>
                  <w:r>
                    <w:rPr>
                      <w:rFonts w:ascii="仿宋_GB2312" w:hAnsi="仿宋_GB2312" w:cs="仿宋_GB2312" w:eastAsia="仿宋_GB2312"/>
                      <w:sz w:val="24"/>
                      <w:color w:val="000000"/>
                    </w:rPr>
                    <w:t>4.支持终端无系统状态开机直接进入Windows 系统边部署边使用，无需等待操作系统部署完毕即可使用减少维护时间。</w:t>
                  </w:r>
                </w:p>
                <w:p>
                  <w:pPr>
                    <w:pStyle w:val="null3"/>
                    <w:jc w:val="both"/>
                  </w:pPr>
                  <w:r>
                    <w:rPr>
                      <w:rFonts w:ascii="仿宋_GB2312" w:hAnsi="仿宋_GB2312" w:cs="仿宋_GB2312" w:eastAsia="仿宋_GB2312"/>
                      <w:sz w:val="24"/>
                      <w:color w:val="000000"/>
                    </w:rPr>
                    <w:t>5.支持对终端端口进行分类控制，包括但不限于控制所有USB存储接口、光盘驱动器接口、USB存储设备接口等。</w:t>
                  </w:r>
                </w:p>
                <w:p>
                  <w:pPr>
                    <w:pStyle w:val="null3"/>
                    <w:jc w:val="both"/>
                  </w:pPr>
                  <w:r>
                    <w:rPr>
                      <w:rFonts w:ascii="仿宋_GB2312" w:hAnsi="仿宋_GB2312" w:cs="仿宋_GB2312" w:eastAsia="仿宋_GB2312"/>
                      <w:sz w:val="24"/>
                      <w:color w:val="000000"/>
                    </w:rPr>
                    <w:t>6.支持复杂网络环境及跨校区部署管理，支持客户端通过网络引导、U盘方式部署系统，客户端可通过VLAN、跨区域、跨互联网连接服务器并下发缓存。</w:t>
                  </w:r>
                </w:p>
                <w:p>
                  <w:pPr>
                    <w:pStyle w:val="null3"/>
                    <w:jc w:val="both"/>
                  </w:pPr>
                  <w:r>
                    <w:rPr>
                      <w:rFonts w:ascii="仿宋_GB2312" w:hAnsi="仿宋_GB2312" w:cs="仿宋_GB2312" w:eastAsia="仿宋_GB2312"/>
                      <w:sz w:val="24"/>
                      <w:b/>
                      <w:color w:val="000000"/>
                    </w:rPr>
                    <w:t>三、电子教室功能</w:t>
                  </w:r>
                </w:p>
                <w:p>
                  <w:pPr>
                    <w:pStyle w:val="null3"/>
                    <w:jc w:val="both"/>
                  </w:pPr>
                  <w:r>
                    <w:rPr>
                      <w:rFonts w:ascii="仿宋_GB2312" w:hAnsi="仿宋_GB2312" w:cs="仿宋_GB2312" w:eastAsia="仿宋_GB2312"/>
                      <w:sz w:val="24"/>
                      <w:color w:val="000000"/>
                    </w:rPr>
                    <w:t>1.可以将教师机屏幕的实时操作画面传输到学生端电脑桌面，广播无延时、画面清晰流畅，支持全屏、窗口两种广播方式。满足学生跟随老师学习与操作的需求。</w:t>
                  </w:r>
                </w:p>
                <w:p>
                  <w:pPr>
                    <w:pStyle w:val="null3"/>
                    <w:jc w:val="both"/>
                  </w:pPr>
                  <w:r>
                    <w:rPr>
                      <w:rFonts w:ascii="仿宋_GB2312" w:hAnsi="仿宋_GB2312" w:cs="仿宋_GB2312" w:eastAsia="仿宋_GB2312"/>
                      <w:sz w:val="24"/>
                      <w:color w:val="000000"/>
                    </w:rPr>
                    <w:t>2.可将所选的学生客户端操作画面实时广播到其它接收演示的学生客户端屏幕上，实现优秀学生在线演示功能。</w:t>
                  </w:r>
                </w:p>
                <w:p>
                  <w:pPr>
                    <w:pStyle w:val="null3"/>
                    <w:jc w:val="both"/>
                  </w:pPr>
                  <w:r>
                    <w:rPr>
                      <w:rFonts w:ascii="仿宋_GB2312" w:hAnsi="仿宋_GB2312" w:cs="仿宋_GB2312" w:eastAsia="仿宋_GB2312"/>
                      <w:sz w:val="24"/>
                      <w:color w:val="000000"/>
                    </w:rPr>
                    <w:t>3.电子白板：支持网络白板功能，老师可以实时开启与关闭电子画板，提供铅笔、直线、圆形、矩形、橡皮、文字输入工具；老师授课过程中误操作，可以随时撤销之前操作；支持打开文档、图片、当前桌面作为电子画板的底图。</w:t>
                  </w:r>
                </w:p>
                <w:p>
                  <w:pPr>
                    <w:pStyle w:val="null3"/>
                    <w:jc w:val="both"/>
                  </w:pPr>
                  <w:r>
                    <w:rPr>
                      <w:rFonts w:ascii="仿宋_GB2312" w:hAnsi="仿宋_GB2312" w:cs="仿宋_GB2312" w:eastAsia="仿宋_GB2312"/>
                      <w:sz w:val="24"/>
                      <w:color w:val="000000"/>
                    </w:rPr>
                    <w:t>4.摄像头广播：支持采集老师端USB摄像头画面并直播到学生电脑。</w:t>
                  </w:r>
                </w:p>
                <w:p>
                  <w:pPr>
                    <w:pStyle w:val="null3"/>
                    <w:jc w:val="both"/>
                  </w:pPr>
                  <w:r>
                    <w:rPr>
                      <w:rFonts w:ascii="仿宋_GB2312" w:hAnsi="仿宋_GB2312" w:cs="仿宋_GB2312" w:eastAsia="仿宋_GB2312"/>
                      <w:sz w:val="24"/>
                      <w:color w:val="000000"/>
                    </w:rPr>
                    <w:t>5.随堂测验：可以组织小型的课堂练习测试，支持教师端出选择题/判断题后学生端答题，支持上传图片，答题结束后教师端可以看到所有学生端的答题结果，同时会实时统计学生答题数据。</w:t>
                  </w:r>
                </w:p>
                <w:p>
                  <w:pPr>
                    <w:pStyle w:val="null3"/>
                    <w:jc w:val="both"/>
                  </w:pPr>
                  <w:r>
                    <w:rPr>
                      <w:rFonts w:ascii="仿宋_GB2312" w:hAnsi="仿宋_GB2312" w:cs="仿宋_GB2312" w:eastAsia="仿宋_GB2312"/>
                      <w:sz w:val="24"/>
                      <w:color w:val="000000"/>
                    </w:rPr>
                    <w:t>6.支持教师机设置批量执行命令，管理员也可以新建与删除命令。</w:t>
                  </w:r>
                </w:p>
                <w:p>
                  <w:pPr>
                    <w:pStyle w:val="null3"/>
                    <w:jc w:val="both"/>
                  </w:pPr>
                  <w:r>
                    <w:rPr>
                      <w:rFonts w:ascii="仿宋_GB2312" w:hAnsi="仿宋_GB2312" w:cs="仿宋_GB2312" w:eastAsia="仿宋_GB2312"/>
                      <w:sz w:val="24"/>
                      <w:color w:val="000000"/>
                    </w:rPr>
                    <w:t>7.支持教师端远程限制学生上网，设置黑白名单并且可以查看学生端上网的访问网页记录。</w:t>
                  </w:r>
                </w:p>
                <w:p>
                  <w:pPr>
                    <w:pStyle w:val="null3"/>
                    <w:jc w:val="both"/>
                  </w:pPr>
                  <w:r>
                    <w:rPr>
                      <w:rFonts w:ascii="仿宋_GB2312" w:hAnsi="仿宋_GB2312" w:cs="仿宋_GB2312" w:eastAsia="仿宋_GB2312"/>
                      <w:sz w:val="24"/>
                      <w:color w:val="000000"/>
                    </w:rPr>
                    <w:t>8.支持教师端远程限制学生使用软件程序，并且可以限制使用U盘。</w:t>
                  </w:r>
                </w:p>
                <w:p>
                  <w:pPr>
                    <w:pStyle w:val="null3"/>
                    <w:jc w:val="both"/>
                  </w:pPr>
                  <w:r>
                    <w:rPr>
                      <w:rFonts w:ascii="仿宋_GB2312" w:hAnsi="仿宋_GB2312" w:cs="仿宋_GB2312" w:eastAsia="仿宋_GB2312"/>
                      <w:sz w:val="24"/>
                      <w:color w:val="000000"/>
                    </w:rPr>
                    <w:t>9.支持教师端设置关机/重启/定唤醒/黑屏/解除黑屏。</w:t>
                  </w:r>
                </w:p>
                <w:p>
                  <w:pPr>
                    <w:pStyle w:val="null3"/>
                    <w:jc w:val="both"/>
                  </w:pPr>
                  <w:r>
                    <w:rPr>
                      <w:rFonts w:ascii="仿宋_GB2312" w:hAnsi="仿宋_GB2312" w:cs="仿宋_GB2312" w:eastAsia="仿宋_GB2312"/>
                      <w:sz w:val="24"/>
                      <w:color w:val="000000"/>
                    </w:rPr>
                    <w:t>10.所投云桌面软件、电子教室软件为同一品牌。</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153</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人工智能实训桌椅</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1.实训电脑桌：钢木结构实验桌，规格：不小于（长）1600mm×（宽）600mm×（高）750mm，含翻转器，桌面采用环保板材。</w:t>
                  </w:r>
                </w:p>
                <w:p>
                  <w:pPr>
                    <w:pStyle w:val="null3"/>
                    <w:jc w:val="both"/>
                  </w:pPr>
                  <w:r>
                    <w:rPr>
                      <w:rFonts w:ascii="仿宋_GB2312" w:hAnsi="仿宋_GB2312" w:cs="仿宋_GB2312" w:eastAsia="仿宋_GB2312"/>
                      <w:sz w:val="24"/>
                      <w:color w:val="000000"/>
                    </w:rPr>
                    <w:t>2.椅子：钢木结构，规格：不小于35mm×25mm×30mm。</w:t>
                  </w:r>
                </w:p>
                <w:p>
                  <w:pPr>
                    <w:pStyle w:val="null3"/>
                    <w:jc w:val="both"/>
                  </w:pPr>
                  <w:r>
                    <w:rPr>
                      <w:rFonts w:ascii="仿宋_GB2312" w:hAnsi="仿宋_GB2312" w:cs="仿宋_GB2312" w:eastAsia="仿宋_GB2312"/>
                      <w:sz w:val="24"/>
                      <w:color w:val="000000"/>
                    </w:rPr>
                    <w:t>3.每套包含2个工位，2把椅子。</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人工智能实训室改造</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装修改造面积约</w:t>
                  </w:r>
                  <w:r>
                    <w:rPr>
                      <w:rFonts w:ascii="仿宋_GB2312" w:hAnsi="仿宋_GB2312" w:cs="仿宋_GB2312" w:eastAsia="仿宋_GB2312"/>
                      <w:sz w:val="24"/>
                      <w:b/>
                      <w:color w:val="000000"/>
                    </w:rPr>
                    <w:t>100平：</w:t>
                  </w:r>
                </w:p>
                <w:p>
                  <w:pPr>
                    <w:pStyle w:val="null3"/>
                    <w:jc w:val="both"/>
                  </w:pPr>
                  <w:r>
                    <w:rPr>
                      <w:rFonts w:ascii="仿宋_GB2312" w:hAnsi="仿宋_GB2312" w:cs="仿宋_GB2312" w:eastAsia="仿宋_GB2312"/>
                      <w:sz w:val="24"/>
                      <w:color w:val="000000"/>
                    </w:rPr>
                    <w:t>1.实训室采用4*7cm铝方通吊顶，间距7cm，并安装不少于15个LED集成平板灯。</w:t>
                  </w:r>
                </w:p>
                <w:p>
                  <w:pPr>
                    <w:pStyle w:val="null3"/>
                    <w:jc w:val="both"/>
                  </w:pPr>
                  <w:r>
                    <w:rPr>
                      <w:rFonts w:ascii="仿宋_GB2312" w:hAnsi="仿宋_GB2312" w:cs="仿宋_GB2312" w:eastAsia="仿宋_GB2312"/>
                      <w:sz w:val="24"/>
                      <w:color w:val="000000"/>
                    </w:rPr>
                    <w:t>2.墙面采用环保漆粉刷。</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.实训室地面铺设防静电地板，尺寸：600×600mm，厚度不小于35mm。</w:t>
                  </w:r>
                </w:p>
                <w:p>
                  <w:pPr>
                    <w:pStyle w:val="null3"/>
                    <w:jc w:val="both"/>
                  </w:pPr>
                  <w:r>
                    <w:rPr>
                      <w:rFonts w:ascii="仿宋_GB2312" w:hAnsi="仿宋_GB2312" w:cs="仿宋_GB2312" w:eastAsia="仿宋_GB2312"/>
                      <w:sz w:val="24"/>
                      <w:color w:val="000000"/>
                    </w:rPr>
                    <w:t>4.实训室工位强弱电施工，包含：根据所有工位进行国标电缆敷设、六类网线弱电布线、电源线路布线，实现所有实训设备有线联网互通。</w:t>
                  </w:r>
                </w:p>
                <w:p>
                  <w:pPr>
                    <w:pStyle w:val="null3"/>
                    <w:jc w:val="both"/>
                  </w:pPr>
                  <w:r>
                    <w:rPr>
                      <w:rFonts w:ascii="仿宋_GB2312" w:hAnsi="仿宋_GB2312" w:cs="仿宋_GB2312" w:eastAsia="仿宋_GB2312"/>
                      <w:sz w:val="24"/>
                      <w:color w:val="000000"/>
                    </w:rPr>
                    <w:t>5.实训室氛围文化建设，室内宣传展板不少于6个。</w:t>
                  </w:r>
                </w:p>
                <w:p>
                  <w:pPr>
                    <w:pStyle w:val="null3"/>
                    <w:jc w:val="both"/>
                  </w:pPr>
                  <w:r>
                    <w:rPr>
                      <w:rFonts w:ascii="仿宋_GB2312" w:hAnsi="仿宋_GB2312" w:cs="仿宋_GB2312" w:eastAsia="仿宋_GB2312"/>
                      <w:sz w:val="24"/>
                      <w:color w:val="000000"/>
                    </w:rPr>
                    <w:t>6.空调：2台，5匹，柜式，支持冷暖双模式。</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更换实训室</w:t>
                  </w:r>
                  <w:r>
                    <w:rPr>
                      <w:rFonts w:ascii="仿宋_GB2312" w:hAnsi="仿宋_GB2312" w:cs="仿宋_GB2312" w:eastAsia="仿宋_GB2312"/>
                      <w:sz w:val="24"/>
                      <w:color w:val="000000"/>
                    </w:rPr>
                    <w:t>2扇防盗门，尺寸根据现场定制，满足国标要求。</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实训室硬件配套设施</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1.机柜：1个，产品尺寸（长*宽*高）600*600*1000。</w:t>
                  </w:r>
                </w:p>
                <w:p>
                  <w:pPr>
                    <w:pStyle w:val="null3"/>
                    <w:jc w:val="both"/>
                  </w:pPr>
                  <w:r>
                    <w:rPr>
                      <w:rFonts w:ascii="仿宋_GB2312" w:hAnsi="仿宋_GB2312" w:cs="仿宋_GB2312" w:eastAsia="仿宋_GB2312"/>
                      <w:sz w:val="24"/>
                      <w:color w:val="000000"/>
                    </w:rPr>
                    <w:t>2.48口接入交换机：1个，配置≥48口10/100/1000M自适应端口，≥4个100/1000M SFP光口（非复用）；交换容量≥330Gbps，包转发率≥120Mpps。</w:t>
                  </w:r>
                </w:p>
                <w:p>
                  <w:pPr>
                    <w:pStyle w:val="null3"/>
                    <w:jc w:val="both"/>
                  </w:pPr>
                  <w:r>
                    <w:rPr>
                      <w:rFonts w:ascii="仿宋_GB2312" w:hAnsi="仿宋_GB2312" w:cs="仿宋_GB2312" w:eastAsia="仿宋_GB2312"/>
                      <w:sz w:val="24"/>
                      <w:color w:val="000000"/>
                    </w:rPr>
                    <w:t>3.管理交换机：1台，三层可网管交换机，用于网络管理，接入校园网，≥24个千兆以太网电口）。</w:t>
                  </w:r>
                </w:p>
                <w:p>
                  <w:pPr>
                    <w:pStyle w:val="null3"/>
                    <w:jc w:val="both"/>
                  </w:pPr>
                  <w:r>
                    <w:rPr>
                      <w:rFonts w:ascii="仿宋_GB2312" w:hAnsi="仿宋_GB2312" w:cs="仿宋_GB2312" w:eastAsia="仿宋_GB2312"/>
                      <w:sz w:val="24"/>
                      <w:color w:val="000000"/>
                    </w:rPr>
                    <w:t>4.稳压电源：1个，纯铜线圈。输入输出为380V三相电源，≥30KVA，需满足机房设备功率要求。</w:t>
                  </w:r>
                </w:p>
                <w:p>
                  <w:pPr>
                    <w:pStyle w:val="null3"/>
                    <w:jc w:val="both"/>
                  </w:pPr>
                  <w:r>
                    <w:rPr>
                      <w:rFonts w:ascii="仿宋_GB2312" w:hAnsi="仿宋_GB2312" w:cs="仿宋_GB2312" w:eastAsia="仿宋_GB2312"/>
                      <w:sz w:val="24"/>
                      <w:color w:val="000000"/>
                    </w:rPr>
                    <w:t>5.音频套装：功放*1个，音箱*2个，一拖二无线话筒*1套，有线话筒1个；音响设备功放：双通道，支持有线，蓝牙模式；灵敏度：92db；失真度：≦0.5%。</w:t>
                  </w:r>
                </w:p>
                <w:p>
                  <w:pPr>
                    <w:pStyle w:val="null3"/>
                    <w:jc w:val="both"/>
                  </w:pPr>
                  <w:r>
                    <w:rPr>
                      <w:rFonts w:ascii="仿宋_GB2312" w:hAnsi="仿宋_GB2312" w:cs="仿宋_GB2312" w:eastAsia="仿宋_GB2312"/>
                      <w:sz w:val="24"/>
                      <w:color w:val="000000"/>
                    </w:rPr>
                    <w:t>6.智慧黑板86吋（1台）：</w:t>
                  </w:r>
                </w:p>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Android和Windows双系统切换；支持多种办公软件和音视频文件播放；支持有线和无线网络双系统上网。</w:t>
                  </w:r>
                </w:p>
                <w:p>
                  <w:pPr>
                    <w:pStyle w:val="null3"/>
                    <w:jc w:val="both"/>
                  </w:pPr>
                  <w:r>
                    <w:rPr>
                      <w:rFonts w:ascii="仿宋_GB2312" w:hAnsi="仿宋_GB2312" w:cs="仿宋_GB2312" w:eastAsia="仿宋_GB2312"/>
                      <w:sz w:val="24"/>
                      <w:color w:val="000000"/>
                    </w:rPr>
                    <w:t>内置</w:t>
                  </w:r>
                  <w:r>
                    <w:rPr>
                      <w:rFonts w:ascii="仿宋_GB2312" w:hAnsi="仿宋_GB2312" w:cs="仿宋_GB2312" w:eastAsia="仿宋_GB2312"/>
                      <w:sz w:val="24"/>
                      <w:color w:val="000000"/>
                    </w:rPr>
                    <w:t>OPS模块：采用不小于80pin 通用标准接口,即插即用，易于维护；采用不低于8核12线程CPU，主频不低于2.0GHz；内存：≥8G DDR4；硬盘：≥256G SSD固态硬盘。</w:t>
                  </w:r>
                </w:p>
                <w:p>
                  <w:pPr>
                    <w:pStyle w:val="null3"/>
                    <w:jc w:val="both"/>
                  </w:pPr>
                  <w:r>
                    <w:rPr>
                      <w:rFonts w:ascii="仿宋_GB2312" w:hAnsi="仿宋_GB2312" w:cs="仿宋_GB2312" w:eastAsia="仿宋_GB2312"/>
                      <w:sz w:val="24"/>
                      <w:color w:val="000000"/>
                    </w:rPr>
                    <w:t>▲内置音响：采用2.2声道，具有≥6个发声单元或扬声器，最大功率≥80W；</w:t>
                  </w:r>
                </w:p>
                <w:p>
                  <w:pPr>
                    <w:pStyle w:val="null3"/>
                    <w:jc w:val="both"/>
                  </w:pPr>
                  <w:r>
                    <w:rPr>
                      <w:rFonts w:ascii="仿宋_GB2312" w:hAnsi="仿宋_GB2312" w:cs="仿宋_GB2312" w:eastAsia="仿宋_GB2312"/>
                      <w:sz w:val="24"/>
                      <w:color w:val="000000"/>
                    </w:rPr>
                    <w:t>智能交互黑板前置面板具备</w:t>
                  </w:r>
                  <w:r>
                    <w:rPr>
                      <w:rFonts w:ascii="仿宋_GB2312" w:hAnsi="仿宋_GB2312" w:cs="仿宋_GB2312" w:eastAsia="仿宋_GB2312"/>
                      <w:sz w:val="24"/>
                      <w:color w:val="000000"/>
                    </w:rPr>
                    <w:t>≥1路HDMI接口（非转接），≥2路USB3.0接口，≥1路Type-C接口；后置标配非扩展 HDMI输入≥2路，HDMI输出≥1路；具备前置电脑还原按键（针孔式设计）。</w:t>
                  </w:r>
                </w:p>
                <w:p>
                  <w:pPr>
                    <w:pStyle w:val="null3"/>
                    <w:jc w:val="both"/>
                  </w:pPr>
                  <w:r>
                    <w:rPr>
                      <w:rFonts w:ascii="仿宋_GB2312" w:hAnsi="仿宋_GB2312" w:cs="仿宋_GB2312" w:eastAsia="仿宋_GB2312"/>
                      <w:sz w:val="24"/>
                      <w:color w:val="000000"/>
                    </w:rPr>
                    <w:t>▲无需打开智能交互黑板背板，前置接口面板支持单独前拆维护。</w:t>
                  </w:r>
                </w:p>
                <w:p>
                  <w:pPr>
                    <w:pStyle w:val="null3"/>
                    <w:jc w:val="both"/>
                  </w:pPr>
                  <w:r>
                    <w:rPr>
                      <w:rFonts w:ascii="仿宋_GB2312" w:hAnsi="仿宋_GB2312" w:cs="仿宋_GB2312" w:eastAsia="仿宋_GB2312"/>
                      <w:sz w:val="24"/>
                      <w:color w:val="000000"/>
                    </w:rPr>
                    <w:t>▲无PC状态下安卓白板支持插入功能，可插入文档、文本、便利贴、图像(图片)、搜索页面(浏览器)、视频、尺子、表格、思维导图、会议纪要、截图等教学辅助工具；支持思维导图功能；支持全选页面或部分页面进行二维码分享，支持PNG、JPEG、PDF等多种格式，支持加密分享，支持快速保存到USB设备。</w:t>
                  </w:r>
                </w:p>
                <w:p>
                  <w:pPr>
                    <w:pStyle w:val="null3"/>
                    <w:jc w:val="both"/>
                  </w:pPr>
                  <w:r>
                    <w:rPr>
                      <w:rFonts w:ascii="仿宋_GB2312" w:hAnsi="仿宋_GB2312" w:cs="仿宋_GB2312" w:eastAsia="仿宋_GB2312"/>
                      <w:sz w:val="24"/>
                      <w:color w:val="000000"/>
                    </w:rPr>
                    <w:t>7.多媒体讲台（1台），讲台：L1200*W780*H1000mm可翻转讲台，教师椅：网面钢架靠背椅。</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bl>
          <w:p/>
        </w:tc>
      </w:tr>
    </w:tbl>
    <w:p>
      <w:pPr>
        <w:pStyle w:val="null3"/>
      </w:pPr>
      <w:r>
        <w:rPr>
          <w:rFonts w:ascii="仿宋_GB2312" w:hAnsi="仿宋_GB2312" w:cs="仿宋_GB2312" w:eastAsia="仿宋_GB2312"/>
        </w:rPr>
        <w:t>标的名称：数智化产教融合实践中心建设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（二）</w:t>
            </w:r>
          </w:p>
          <w:tbl>
            <w:tblPr>
              <w:tblBorders>
                <w:top w:val="none" w:color="000000" w:sz="4"/>
                <w:left w:val="none" w:color="000000" w:sz="4"/>
                <w:bottom w:val="none" w:color="000000" w:sz="4"/>
                <w:right w:val="none" w:color="000000" w:sz="4"/>
                <w:insideH w:val="none"/>
                <w:insideV w:val="none"/>
              </w:tblBorders>
            </w:tblPr>
            <w:tblGrid>
              <w:gridCol w:w="158"/>
              <w:gridCol w:w="446"/>
              <w:gridCol w:w="1483"/>
              <w:gridCol w:w="240"/>
              <w:gridCol w:w="225"/>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1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智能搬运机器人开发平台</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机器人底盘参数：</w:t>
                  </w:r>
                </w:p>
                <w:p>
                  <w:pPr>
                    <w:pStyle w:val="null3"/>
                    <w:jc w:val="both"/>
                  </w:pPr>
                  <w:r>
                    <w:rPr>
                      <w:rFonts w:ascii="仿宋_GB2312" w:hAnsi="仿宋_GB2312" w:cs="仿宋_GB2312" w:eastAsia="仿宋_GB2312"/>
                      <w:sz w:val="24"/>
                      <w:color w:val="000000"/>
                    </w:rPr>
                    <w:t>1.底盘结构：前转后驱阿克曼结构</w:t>
                  </w:r>
                </w:p>
                <w:p>
                  <w:pPr>
                    <w:pStyle w:val="null3"/>
                    <w:jc w:val="both"/>
                  </w:pPr>
                  <w:r>
                    <w:rPr>
                      <w:rFonts w:ascii="仿宋_GB2312" w:hAnsi="仿宋_GB2312" w:cs="仿宋_GB2312" w:eastAsia="仿宋_GB2312"/>
                      <w:sz w:val="24"/>
                      <w:color w:val="000000"/>
                    </w:rPr>
                    <w:t>2.底盘车体尺寸：≥13</w:t>
                  </w:r>
                  <w:r>
                    <w:rPr>
                      <w:rFonts w:ascii="仿宋_GB2312" w:hAnsi="仿宋_GB2312" w:cs="仿宋_GB2312" w:eastAsia="仿宋_GB2312"/>
                      <w:sz w:val="24"/>
                      <w:color w:val="000000"/>
                    </w:rPr>
                    <w:t>0</w:t>
                  </w:r>
                  <w:r>
                    <w:rPr>
                      <w:rFonts w:ascii="仿宋_GB2312" w:hAnsi="仿宋_GB2312" w:cs="仿宋_GB2312" w:eastAsia="仿宋_GB2312"/>
                      <w:sz w:val="24"/>
                      <w:color w:val="000000"/>
                    </w:rPr>
                    <w:t>0*78</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480</w:t>
                  </w:r>
                  <w:r>
                    <w:rPr>
                      <w:rFonts w:ascii="仿宋_GB2312" w:hAnsi="仿宋_GB2312" w:cs="仿宋_GB2312" w:eastAsia="仿宋_GB2312"/>
                      <w:sz w:val="24"/>
                      <w:color w:val="000000"/>
                    </w:rPr>
                    <w:t>mm</w:t>
                  </w:r>
                </w:p>
                <w:p>
                  <w:pPr>
                    <w:pStyle w:val="null3"/>
                    <w:jc w:val="both"/>
                  </w:pPr>
                  <w:r>
                    <w:rPr>
                      <w:rFonts w:ascii="仿宋_GB2312" w:hAnsi="仿宋_GB2312" w:cs="仿宋_GB2312" w:eastAsia="仿宋_GB2312"/>
                      <w:sz w:val="24"/>
                      <w:color w:val="000000"/>
                    </w:rPr>
                    <w:t>3.底盘轴距：≤660mm</w:t>
                  </w:r>
                </w:p>
                <w:p>
                  <w:pPr>
                    <w:pStyle w:val="null3"/>
                    <w:jc w:val="both"/>
                  </w:pPr>
                  <w:r>
                    <w:rPr>
                      <w:rFonts w:ascii="仿宋_GB2312" w:hAnsi="仿宋_GB2312" w:cs="仿宋_GB2312" w:eastAsia="仿宋_GB2312"/>
                      <w:sz w:val="24"/>
                      <w:color w:val="000000"/>
                    </w:rPr>
                    <w:t>4.底盘轮距：≤6</w:t>
                  </w:r>
                  <w:r>
                    <w:rPr>
                      <w:rFonts w:ascii="仿宋_GB2312" w:hAnsi="仿宋_GB2312" w:cs="仿宋_GB2312" w:eastAsia="仿宋_GB2312"/>
                      <w:sz w:val="24"/>
                      <w:color w:val="000000"/>
                    </w:rPr>
                    <w:t>50</w:t>
                  </w:r>
                  <w:r>
                    <w:rPr>
                      <w:rFonts w:ascii="仿宋_GB2312" w:hAnsi="仿宋_GB2312" w:cs="仿宋_GB2312" w:eastAsia="仿宋_GB2312"/>
                      <w:sz w:val="24"/>
                      <w:color w:val="000000"/>
                    </w:rPr>
                    <w:t>mm</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.车体需带有 12V 24V 48V对外供电接口</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.底盘电池：48V,20AH</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.底盘续航：20km</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.底盘垂直负载：≥100kg</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.底盘爬坡角度：≥10°（满载）</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.底盘跨越宽度：≥20cm（满载）</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.底盘越障高度：≥6cm（满载）</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.底盘速度：≥8KM/H</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.转向性能要求：需采用EPS转向系统，转向精度需达到±0.5°</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.底盘防碰撞条：防撞条信号接入底盘运动控制板，由运动控制板控制整车急停，并上报防撞条信号。</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.底盘防撞条解锁：后退解锁、遥控器解锁、CAN指令解锁，支持三种解锁模式。</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.可支持遥控和自动两种方式控制无人车工作，且遥控距离≥100m</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7</w:t>
                  </w:r>
                  <w:r>
                    <w:rPr>
                      <w:rFonts w:ascii="仿宋_GB2312" w:hAnsi="仿宋_GB2312" w:cs="仿宋_GB2312" w:eastAsia="仿宋_GB2312"/>
                      <w:sz w:val="24"/>
                      <w:color w:val="000000"/>
                    </w:rPr>
                    <w:t>.底盘急停信号：急停拍下后，由驱动器与运动控制板同时控制整车停车，整车不断电，同时上报急停信号。</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8</w:t>
                  </w:r>
                  <w:r>
                    <w:rPr>
                      <w:rFonts w:ascii="仿宋_GB2312" w:hAnsi="仿宋_GB2312" w:cs="仿宋_GB2312" w:eastAsia="仿宋_GB2312"/>
                      <w:sz w:val="24"/>
                      <w:color w:val="000000"/>
                    </w:rPr>
                    <w:t>.底盘反馈信息：运动控制板需反馈底盘线速度、底盘角速度、左轮速度、右轮速度。</w:t>
                  </w:r>
                </w:p>
                <w:p>
                  <w:pPr>
                    <w:pStyle w:val="null3"/>
                    <w:jc w:val="both"/>
                  </w:pPr>
                  <w:r>
                    <w:rPr>
                      <w:rFonts w:ascii="仿宋_GB2312" w:hAnsi="仿宋_GB2312" w:cs="仿宋_GB2312" w:eastAsia="仿宋_GB2312"/>
                      <w:sz w:val="24"/>
                      <w:color w:val="000000"/>
                    </w:rPr>
                    <w:t>19</w:t>
                  </w:r>
                  <w:r>
                    <w:rPr>
                      <w:rFonts w:ascii="仿宋_GB2312" w:hAnsi="仿宋_GB2312" w:cs="仿宋_GB2312" w:eastAsia="仿宋_GB2312"/>
                      <w:sz w:val="24"/>
                      <w:color w:val="000000"/>
                    </w:rPr>
                    <w:t>.充电方式：手动充电</w:t>
                  </w:r>
                </w:p>
                <w:p>
                  <w:pPr>
                    <w:pStyle w:val="null3"/>
                    <w:jc w:val="both"/>
                  </w:pPr>
                  <w:r>
                    <w:rPr>
                      <w:rFonts w:ascii="仿宋_GB2312" w:hAnsi="仿宋_GB2312" w:cs="仿宋_GB2312" w:eastAsia="仿宋_GB2312"/>
                      <w:sz w:val="24"/>
                      <w:color w:val="000000"/>
                    </w:rPr>
                    <w:t>20</w:t>
                  </w:r>
                  <w:r>
                    <w:rPr>
                      <w:rFonts w:ascii="仿宋_GB2312" w:hAnsi="仿宋_GB2312" w:cs="仿宋_GB2312" w:eastAsia="仿宋_GB2312"/>
                      <w:sz w:val="24"/>
                      <w:color w:val="000000"/>
                    </w:rPr>
                    <w:t>.制动方式：电机制动</w:t>
                  </w:r>
                </w:p>
                <w:p>
                  <w:pPr>
                    <w:pStyle w:val="null3"/>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.驻车方式：电磁抱闸</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r>
                    <w:rPr>
                      <w:rFonts w:ascii="仿宋_GB2312" w:hAnsi="仿宋_GB2312" w:cs="仿宋_GB2312" w:eastAsia="仿宋_GB2312"/>
                      <w:sz w:val="24"/>
                      <w:color w:val="000000"/>
                    </w:rPr>
                    <w:t>.通讯协议：CAN通讯协议</w:t>
                  </w:r>
                </w:p>
                <w:p>
                  <w:pPr>
                    <w:pStyle w:val="null3"/>
                    <w:jc w:val="both"/>
                  </w:pPr>
                  <w:r>
                    <w:rPr>
                      <w:rFonts w:ascii="仿宋_GB2312" w:hAnsi="仿宋_GB2312" w:cs="仿宋_GB2312" w:eastAsia="仿宋_GB2312"/>
                      <w:sz w:val="24"/>
                      <w:color w:val="000000"/>
                    </w:rPr>
                    <w:t>机器人底盘主控部分：</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工控机：</w:t>
                  </w:r>
                  <w:r>
                    <w:rPr>
                      <w:rFonts w:ascii="仿宋_GB2312" w:hAnsi="仿宋_GB2312" w:cs="仿宋_GB2312" w:eastAsia="仿宋_GB2312"/>
                      <w:sz w:val="24"/>
                      <w:color w:val="000000"/>
                    </w:rPr>
                    <w:t>1台</w:t>
                  </w:r>
                </w:p>
                <w:p>
                  <w:pPr>
                    <w:pStyle w:val="null3"/>
                    <w:jc w:val="both"/>
                  </w:pPr>
                  <w:r>
                    <w:rPr>
                      <w:rFonts w:ascii="仿宋_GB2312" w:hAnsi="仿宋_GB2312" w:cs="仿宋_GB2312" w:eastAsia="仿宋_GB2312"/>
                      <w:sz w:val="24"/>
                      <w:color w:val="000000"/>
                    </w:rPr>
                    <w:t>CPU：主频≥3.0GHz</w:t>
                  </w:r>
                </w:p>
                <w:p>
                  <w:pPr>
                    <w:pStyle w:val="null3"/>
                    <w:jc w:val="both"/>
                  </w:pPr>
                  <w:r>
                    <w:rPr>
                      <w:rFonts w:ascii="仿宋_GB2312" w:hAnsi="仿宋_GB2312" w:cs="仿宋_GB2312" w:eastAsia="仿宋_GB2312"/>
                      <w:sz w:val="24"/>
                      <w:color w:val="000000"/>
                    </w:rPr>
                    <w:t>内存：</w:t>
                  </w:r>
                  <w:r>
                    <w:rPr>
                      <w:rFonts w:ascii="仿宋_GB2312" w:hAnsi="仿宋_GB2312" w:cs="仿宋_GB2312" w:eastAsia="仿宋_GB2312"/>
                      <w:sz w:val="24"/>
                      <w:color w:val="000000"/>
                    </w:rPr>
                    <w:t>≥16G DDR4</w:t>
                  </w:r>
                </w:p>
                <w:p>
                  <w:pPr>
                    <w:pStyle w:val="null3"/>
                    <w:jc w:val="both"/>
                  </w:pPr>
                  <w:r>
                    <w:rPr>
                      <w:rFonts w:ascii="仿宋_GB2312" w:hAnsi="仿宋_GB2312" w:cs="仿宋_GB2312" w:eastAsia="仿宋_GB2312"/>
                      <w:sz w:val="24"/>
                      <w:color w:val="000000"/>
                    </w:rPr>
                    <w:t>硬盘：</w:t>
                  </w:r>
                  <w:r>
                    <w:rPr>
                      <w:rFonts w:ascii="仿宋_GB2312" w:hAnsi="仿宋_GB2312" w:cs="仿宋_GB2312" w:eastAsia="仿宋_GB2312"/>
                      <w:sz w:val="24"/>
                      <w:color w:val="000000"/>
                    </w:rPr>
                    <w:t>≥512G</w:t>
                  </w:r>
                </w:p>
                <w:p>
                  <w:pPr>
                    <w:pStyle w:val="null3"/>
                    <w:jc w:val="both"/>
                  </w:pPr>
                  <w:r>
                    <w:rPr>
                      <w:rFonts w:ascii="仿宋_GB2312" w:hAnsi="仿宋_GB2312" w:cs="仿宋_GB2312" w:eastAsia="仿宋_GB2312"/>
                      <w:sz w:val="24"/>
                      <w:color w:val="000000"/>
                    </w:rPr>
                    <w:t>USB3.0接口≥4个</w:t>
                  </w:r>
                </w:p>
                <w:p>
                  <w:pPr>
                    <w:pStyle w:val="null3"/>
                    <w:jc w:val="both"/>
                  </w:pPr>
                  <w:r>
                    <w:rPr>
                      <w:rFonts w:ascii="仿宋_GB2312" w:hAnsi="仿宋_GB2312" w:cs="仿宋_GB2312" w:eastAsia="仿宋_GB2312"/>
                      <w:sz w:val="24"/>
                      <w:color w:val="000000"/>
                    </w:rPr>
                    <w:t>千兆网口</w:t>
                  </w:r>
                  <w:r>
                    <w:rPr>
                      <w:rFonts w:ascii="仿宋_GB2312" w:hAnsi="仿宋_GB2312" w:cs="仿宋_GB2312" w:eastAsia="仿宋_GB2312"/>
                      <w:sz w:val="24"/>
                      <w:color w:val="000000"/>
                    </w:rPr>
                    <w:t>≥2个</w:t>
                  </w:r>
                </w:p>
                <w:p>
                  <w:pPr>
                    <w:pStyle w:val="null3"/>
                    <w:jc w:val="both"/>
                  </w:pPr>
                  <w:r>
                    <w:rPr>
                      <w:rFonts w:ascii="仿宋_GB2312" w:hAnsi="仿宋_GB2312" w:cs="仿宋_GB2312" w:eastAsia="仿宋_GB2312"/>
                      <w:sz w:val="24"/>
                      <w:color w:val="000000"/>
                    </w:rPr>
                    <w:t>HDMI显示接口≥1个</w:t>
                  </w:r>
                </w:p>
                <w:p>
                  <w:pPr>
                    <w:pStyle w:val="null3"/>
                    <w:jc w:val="both"/>
                  </w:pPr>
                  <w:r>
                    <w:rPr>
                      <w:rFonts w:ascii="仿宋_GB2312" w:hAnsi="仿宋_GB2312" w:cs="仿宋_GB2312" w:eastAsia="仿宋_GB2312"/>
                      <w:sz w:val="24"/>
                      <w:color w:val="000000"/>
                    </w:rPr>
                    <w:t>串口</w:t>
                  </w:r>
                  <w:r>
                    <w:rPr>
                      <w:rFonts w:ascii="仿宋_GB2312" w:hAnsi="仿宋_GB2312" w:cs="仿宋_GB2312" w:eastAsia="仿宋_GB2312"/>
                      <w:sz w:val="24"/>
                      <w:color w:val="000000"/>
                    </w:rPr>
                    <w:t>≥4个</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3D激光雷达1台</w:t>
                  </w:r>
                </w:p>
                <w:p>
                  <w:pPr>
                    <w:pStyle w:val="null3"/>
                    <w:jc w:val="both"/>
                  </w:pPr>
                  <w:r>
                    <w:rPr>
                      <w:rFonts w:ascii="仿宋_GB2312" w:hAnsi="仿宋_GB2312" w:cs="仿宋_GB2312" w:eastAsia="仿宋_GB2312"/>
                      <w:sz w:val="24"/>
                      <w:color w:val="000000"/>
                    </w:rPr>
                    <w:t>探测范围：</w:t>
                  </w:r>
                  <w:r>
                    <w:rPr>
                      <w:rFonts w:ascii="仿宋_GB2312" w:hAnsi="仿宋_GB2312" w:cs="仿宋_GB2312" w:eastAsia="仿宋_GB2312"/>
                      <w:sz w:val="24"/>
                      <w:color w:val="000000"/>
                    </w:rPr>
                    <w:t>0.2m~150m</w:t>
                  </w:r>
                </w:p>
                <w:p>
                  <w:pPr>
                    <w:pStyle w:val="null3"/>
                    <w:jc w:val="both"/>
                  </w:pPr>
                  <w:r>
                    <w:rPr>
                      <w:rFonts w:ascii="仿宋_GB2312" w:hAnsi="仿宋_GB2312" w:cs="仿宋_GB2312" w:eastAsia="仿宋_GB2312"/>
                      <w:sz w:val="24"/>
                      <w:color w:val="000000"/>
                    </w:rPr>
                    <w:t>线束</w:t>
                  </w:r>
                  <w:r>
                    <w:rPr>
                      <w:rFonts w:ascii="仿宋_GB2312" w:hAnsi="仿宋_GB2312" w:cs="仿宋_GB2312" w:eastAsia="仿宋_GB2312"/>
                      <w:sz w:val="24"/>
                      <w:color w:val="000000"/>
                    </w:rPr>
                    <w:t>16线</w:t>
                  </w:r>
                </w:p>
                <w:p>
                  <w:pPr>
                    <w:pStyle w:val="null3"/>
                    <w:jc w:val="both"/>
                  </w:pPr>
                  <w:r>
                    <w:rPr>
                      <w:rFonts w:ascii="仿宋_GB2312" w:hAnsi="仿宋_GB2312" w:cs="仿宋_GB2312" w:eastAsia="仿宋_GB2312"/>
                      <w:sz w:val="24"/>
                      <w:color w:val="000000"/>
                    </w:rPr>
                    <w:t>激光波长：</w:t>
                  </w:r>
                  <w:r>
                    <w:rPr>
                      <w:rFonts w:ascii="仿宋_GB2312" w:hAnsi="仿宋_GB2312" w:cs="仿宋_GB2312" w:eastAsia="仿宋_GB2312"/>
                      <w:sz w:val="24"/>
                      <w:color w:val="000000"/>
                    </w:rPr>
                    <w:t>905nm</w:t>
                  </w:r>
                </w:p>
                <w:p>
                  <w:pPr>
                    <w:pStyle w:val="null3"/>
                    <w:jc w:val="both"/>
                  </w:pPr>
                  <w:r>
                    <w:rPr>
                      <w:rFonts w:ascii="仿宋_GB2312" w:hAnsi="仿宋_GB2312" w:cs="仿宋_GB2312" w:eastAsia="仿宋_GB2312"/>
                      <w:sz w:val="24"/>
                      <w:color w:val="000000"/>
                    </w:rPr>
                    <w:t>重复精度：</w:t>
                  </w:r>
                  <w:r>
                    <w:rPr>
                      <w:rFonts w:ascii="仿宋_GB2312" w:hAnsi="仿宋_GB2312" w:cs="仿宋_GB2312" w:eastAsia="仿宋_GB2312"/>
                      <w:sz w:val="24"/>
                      <w:color w:val="000000"/>
                    </w:rPr>
                    <w:t>±2cm</w:t>
                  </w:r>
                </w:p>
                <w:p>
                  <w:pPr>
                    <w:pStyle w:val="null3"/>
                    <w:jc w:val="both"/>
                  </w:pPr>
                  <w:r>
                    <w:rPr>
                      <w:rFonts w:ascii="仿宋_GB2312" w:hAnsi="仿宋_GB2312" w:cs="仿宋_GB2312" w:eastAsia="仿宋_GB2312"/>
                      <w:sz w:val="24"/>
                      <w:color w:val="000000"/>
                    </w:rPr>
                    <w:t>水平视场角：</w:t>
                  </w:r>
                  <w:r>
                    <w:rPr>
                      <w:rFonts w:ascii="仿宋_GB2312" w:hAnsi="仿宋_GB2312" w:cs="仿宋_GB2312" w:eastAsia="仿宋_GB2312"/>
                      <w:sz w:val="24"/>
                      <w:color w:val="000000"/>
                    </w:rPr>
                    <w:t>360°</w:t>
                  </w:r>
                </w:p>
                <w:p>
                  <w:pPr>
                    <w:pStyle w:val="null3"/>
                    <w:jc w:val="both"/>
                  </w:pPr>
                  <w:r>
                    <w:rPr>
                      <w:rFonts w:ascii="仿宋_GB2312" w:hAnsi="仿宋_GB2312" w:cs="仿宋_GB2312" w:eastAsia="仿宋_GB2312"/>
                      <w:sz w:val="24"/>
                      <w:color w:val="000000"/>
                    </w:rPr>
                    <w:t>垂直视场角：</w:t>
                  </w:r>
                  <w:r>
                    <w:rPr>
                      <w:rFonts w:ascii="仿宋_GB2312" w:hAnsi="仿宋_GB2312" w:cs="仿宋_GB2312" w:eastAsia="仿宋_GB2312"/>
                      <w:sz w:val="24"/>
                      <w:color w:val="000000"/>
                    </w:rPr>
                    <w:t>-15°~+15°</w:t>
                  </w:r>
                </w:p>
                <w:p>
                  <w:pPr>
                    <w:pStyle w:val="null3"/>
                    <w:jc w:val="both"/>
                  </w:pPr>
                  <w:r>
                    <w:rPr>
                      <w:rFonts w:ascii="仿宋_GB2312" w:hAnsi="仿宋_GB2312" w:cs="仿宋_GB2312" w:eastAsia="仿宋_GB2312"/>
                      <w:sz w:val="24"/>
                      <w:color w:val="000000"/>
                    </w:rPr>
                    <w:t>扫描频率：</w:t>
                  </w:r>
                  <w:r>
                    <w:rPr>
                      <w:rFonts w:ascii="仿宋_GB2312" w:hAnsi="仿宋_GB2312" w:cs="仿宋_GB2312" w:eastAsia="仿宋_GB2312"/>
                      <w:sz w:val="24"/>
                      <w:color w:val="000000"/>
                    </w:rPr>
                    <w:t>10HZ/20HZ</w:t>
                  </w:r>
                </w:p>
                <w:p>
                  <w:pPr>
                    <w:pStyle w:val="null3"/>
                    <w:jc w:val="both"/>
                  </w:pPr>
                  <w:r>
                    <w:rPr>
                      <w:rFonts w:ascii="仿宋_GB2312" w:hAnsi="仿宋_GB2312" w:cs="仿宋_GB2312" w:eastAsia="仿宋_GB2312"/>
                      <w:sz w:val="24"/>
                      <w:color w:val="000000"/>
                    </w:rPr>
                    <w:t>水平角分辨率：</w:t>
                  </w:r>
                  <w:r>
                    <w:rPr>
                      <w:rFonts w:ascii="仿宋_GB2312" w:hAnsi="仿宋_GB2312" w:cs="仿宋_GB2312" w:eastAsia="仿宋_GB2312"/>
                      <w:sz w:val="24"/>
                      <w:color w:val="000000"/>
                    </w:rPr>
                    <w:t>0.2°/0.4°</w:t>
                  </w:r>
                </w:p>
                <w:p>
                  <w:pPr>
                    <w:pStyle w:val="null3"/>
                    <w:jc w:val="both"/>
                  </w:pPr>
                  <w:r>
                    <w:rPr>
                      <w:rFonts w:ascii="仿宋_GB2312" w:hAnsi="仿宋_GB2312" w:cs="仿宋_GB2312" w:eastAsia="仿宋_GB2312"/>
                      <w:sz w:val="24"/>
                      <w:color w:val="000000"/>
                    </w:rPr>
                    <w:t>通讯：网口</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深度相机</w:t>
                  </w:r>
                  <w:r>
                    <w:rPr>
                      <w:rFonts w:ascii="仿宋_GB2312" w:hAnsi="仿宋_GB2312" w:cs="仿宋_GB2312" w:eastAsia="仿宋_GB2312"/>
                      <w:sz w:val="24"/>
                      <w:color w:val="000000"/>
                    </w:rPr>
                    <w:t>2台</w:t>
                  </w:r>
                </w:p>
                <w:p>
                  <w:pPr>
                    <w:pStyle w:val="null3"/>
                    <w:jc w:val="both"/>
                  </w:pPr>
                  <w:r>
                    <w:rPr>
                      <w:rFonts w:ascii="仿宋_GB2312" w:hAnsi="仿宋_GB2312" w:cs="仿宋_GB2312" w:eastAsia="仿宋_GB2312"/>
                      <w:sz w:val="24"/>
                      <w:color w:val="000000"/>
                    </w:rPr>
                    <w:t>工作范围：深度：</w:t>
                  </w:r>
                  <w:r>
                    <w:rPr>
                      <w:rFonts w:ascii="仿宋_GB2312" w:hAnsi="仿宋_GB2312" w:cs="仿宋_GB2312" w:eastAsia="仿宋_GB2312"/>
                      <w:sz w:val="24"/>
                      <w:color w:val="000000"/>
                    </w:rPr>
                    <w:t>0.2m~4m</w:t>
                  </w:r>
                </w:p>
                <w:p>
                  <w:pPr>
                    <w:pStyle w:val="null3"/>
                    <w:jc w:val="both"/>
                  </w:pPr>
                  <w:r>
                    <w:rPr>
                      <w:rFonts w:ascii="仿宋_GB2312" w:hAnsi="仿宋_GB2312" w:cs="仿宋_GB2312" w:eastAsia="仿宋_GB2312"/>
                      <w:sz w:val="24"/>
                      <w:color w:val="000000"/>
                    </w:rPr>
                    <w:t>工作温度：</w:t>
                  </w:r>
                  <w:r>
                    <w:rPr>
                      <w:rFonts w:ascii="仿宋_GB2312" w:hAnsi="仿宋_GB2312" w:cs="仿宋_GB2312" w:eastAsia="仿宋_GB2312"/>
                      <w:sz w:val="24"/>
                      <w:color w:val="000000"/>
                    </w:rPr>
                    <w:t>-10℃~50℃</w:t>
                  </w:r>
                </w:p>
                <w:p>
                  <w:pPr>
                    <w:pStyle w:val="null3"/>
                    <w:jc w:val="both"/>
                  </w:pPr>
                  <w:r>
                    <w:rPr>
                      <w:rFonts w:ascii="仿宋_GB2312" w:hAnsi="仿宋_GB2312" w:cs="仿宋_GB2312" w:eastAsia="仿宋_GB2312"/>
                      <w:sz w:val="24"/>
                      <w:color w:val="000000"/>
                    </w:rPr>
                    <w:t>深度图像</w:t>
                  </w:r>
                  <w:r>
                    <w:rPr>
                      <w:rFonts w:ascii="仿宋_GB2312" w:hAnsi="仿宋_GB2312" w:cs="仿宋_GB2312" w:eastAsia="仿宋_GB2312"/>
                      <w:sz w:val="24"/>
                      <w:color w:val="000000"/>
                    </w:rPr>
                    <w:t>/视场角(FOV)：H73.8°×V58.8°×D86.4°</w:t>
                  </w:r>
                </w:p>
                <w:p>
                  <w:pPr>
                    <w:pStyle w:val="null3"/>
                    <w:jc w:val="both"/>
                  </w:pPr>
                  <w:r>
                    <w:rPr>
                      <w:rFonts w:ascii="仿宋_GB2312" w:hAnsi="仿宋_GB2312" w:cs="仿宋_GB2312" w:eastAsia="仿宋_GB2312"/>
                      <w:sz w:val="24"/>
                      <w:color w:val="000000"/>
                    </w:rPr>
                    <w:t>深度图像</w:t>
                  </w:r>
                  <w:r>
                    <w:rPr>
                      <w:rFonts w:ascii="仿宋_GB2312" w:hAnsi="仿宋_GB2312" w:cs="仿宋_GB2312" w:eastAsia="仿宋_GB2312"/>
                      <w:sz w:val="24"/>
                      <w:color w:val="000000"/>
                    </w:rPr>
                    <w:t>/分辨率@帧率：640X480g20fps (Max )</w:t>
                  </w:r>
                </w:p>
                <w:p>
                  <w:pPr>
                    <w:pStyle w:val="null3"/>
                    <w:jc w:val="both"/>
                  </w:pPr>
                  <w:r>
                    <w:rPr>
                      <w:rFonts w:ascii="仿宋_GB2312" w:hAnsi="仿宋_GB2312" w:cs="仿宋_GB2312" w:eastAsia="仿宋_GB2312"/>
                      <w:sz w:val="24"/>
                      <w:color w:val="000000"/>
                    </w:rPr>
                    <w:t>RGB 图像/视场角(FOV)：H80.9°×V51.7°× D88.9°</w:t>
                  </w:r>
                </w:p>
                <w:p>
                  <w:pPr>
                    <w:pStyle w:val="null3"/>
                    <w:jc w:val="both"/>
                  </w:pPr>
                  <w:r>
                    <w:rPr>
                      <w:rFonts w:ascii="仿宋_GB2312" w:hAnsi="仿宋_GB2312" w:cs="仿宋_GB2312" w:eastAsia="仿宋_GB2312"/>
                      <w:sz w:val="24"/>
                      <w:color w:val="000000"/>
                    </w:rPr>
                    <w:t>RGB 图像/分辨率@帧率：1920×1080@20fps (Max)</w:t>
                  </w:r>
                </w:p>
                <w:p>
                  <w:pPr>
                    <w:pStyle w:val="null3"/>
                    <w:jc w:val="both"/>
                  </w:pPr>
                  <w:r>
                    <w:rPr>
                      <w:rFonts w:ascii="仿宋_GB2312" w:hAnsi="仿宋_GB2312" w:cs="仿宋_GB2312" w:eastAsia="仿宋_GB2312"/>
                      <w:sz w:val="24"/>
                      <w:color w:val="000000"/>
                    </w:rPr>
                    <w:t>通讯方式：</w:t>
                  </w:r>
                  <w:r>
                    <w:rPr>
                      <w:rFonts w:ascii="仿宋_GB2312" w:hAnsi="仿宋_GB2312" w:cs="仿宋_GB2312" w:eastAsia="仿宋_GB2312"/>
                      <w:sz w:val="24"/>
                      <w:color w:val="000000"/>
                    </w:rPr>
                    <w:t>USB2.0</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IMU 1台</w:t>
                  </w:r>
                </w:p>
                <w:p>
                  <w:pPr>
                    <w:pStyle w:val="null3"/>
                    <w:jc w:val="both"/>
                  </w:pPr>
                  <w:r>
                    <w:rPr>
                      <w:rFonts w:ascii="仿宋_GB2312" w:hAnsi="仿宋_GB2312" w:cs="仿宋_GB2312" w:eastAsia="仿宋_GB2312"/>
                      <w:sz w:val="24"/>
                      <w:color w:val="000000"/>
                    </w:rPr>
                    <w:t>测量范围：陀螺仪：</w:t>
                  </w:r>
                  <w:r>
                    <w:rPr>
                      <w:rFonts w:ascii="仿宋_GB2312" w:hAnsi="仿宋_GB2312" w:cs="仿宋_GB2312" w:eastAsia="仿宋_GB2312"/>
                      <w:sz w:val="24"/>
                      <w:color w:val="000000"/>
                    </w:rPr>
                    <w:t>±2000°/s</w:t>
                  </w:r>
                </w:p>
                <w:p>
                  <w:pPr>
                    <w:pStyle w:val="null3"/>
                    <w:jc w:val="both"/>
                  </w:pPr>
                  <w:r>
                    <w:rPr>
                      <w:rFonts w:ascii="仿宋_GB2312" w:hAnsi="仿宋_GB2312" w:cs="仿宋_GB2312" w:eastAsia="仿宋_GB2312"/>
                      <w:sz w:val="24"/>
                      <w:color w:val="000000"/>
                    </w:rPr>
                    <w:t>加速度计：</w:t>
                  </w:r>
                  <w:r>
                    <w:rPr>
                      <w:rFonts w:ascii="仿宋_GB2312" w:hAnsi="仿宋_GB2312" w:cs="仿宋_GB2312" w:eastAsia="仿宋_GB2312"/>
                      <w:sz w:val="24"/>
                      <w:color w:val="000000"/>
                    </w:rPr>
                    <w:t>±8G (1G = 1x 重力加速度 )</w:t>
                  </w:r>
                </w:p>
                <w:p>
                  <w:pPr>
                    <w:pStyle w:val="null3"/>
                    <w:jc w:val="both"/>
                  </w:pPr>
                  <w:r>
                    <w:rPr>
                      <w:rFonts w:ascii="仿宋_GB2312" w:hAnsi="仿宋_GB2312" w:cs="仿宋_GB2312" w:eastAsia="仿宋_GB2312"/>
                      <w:sz w:val="24"/>
                      <w:color w:val="000000"/>
                    </w:rPr>
                    <w:t>分辨率：陀螺仪：</w:t>
                  </w:r>
                  <w:r>
                    <w:rPr>
                      <w:rFonts w:ascii="仿宋_GB2312" w:hAnsi="仿宋_GB2312" w:cs="仿宋_GB2312" w:eastAsia="仿宋_GB2312"/>
                      <w:sz w:val="24"/>
                      <w:color w:val="000000"/>
                    </w:rPr>
                    <w:t>0.01°/s</w:t>
                  </w:r>
                </w:p>
                <w:p>
                  <w:pPr>
                    <w:pStyle w:val="null3"/>
                    <w:jc w:val="both"/>
                  </w:pPr>
                  <w:r>
                    <w:rPr>
                      <w:rFonts w:ascii="仿宋_GB2312" w:hAnsi="仿宋_GB2312" w:cs="仿宋_GB2312" w:eastAsia="仿宋_GB2312"/>
                      <w:sz w:val="24"/>
                      <w:color w:val="000000"/>
                    </w:rPr>
                    <w:t>加速度计：</w:t>
                  </w:r>
                  <w:r>
                    <w:rPr>
                      <w:rFonts w:ascii="仿宋_GB2312" w:hAnsi="仿宋_GB2312" w:cs="仿宋_GB2312" w:eastAsia="仿宋_GB2312"/>
                      <w:sz w:val="24"/>
                      <w:color w:val="000000"/>
                    </w:rPr>
                    <w:t>1uG</w:t>
                  </w:r>
                </w:p>
                <w:p>
                  <w:pPr>
                    <w:pStyle w:val="null3"/>
                    <w:jc w:val="both"/>
                  </w:pPr>
                  <w:r>
                    <w:rPr>
                      <w:rFonts w:ascii="仿宋_GB2312" w:hAnsi="仿宋_GB2312" w:cs="仿宋_GB2312" w:eastAsia="仿宋_GB2312"/>
                      <w:sz w:val="24"/>
                      <w:color w:val="000000"/>
                    </w:rPr>
                    <w:t>零偏稳定性：陀螺仪：</w:t>
                  </w:r>
                  <w:r>
                    <w:rPr>
                      <w:rFonts w:ascii="仿宋_GB2312" w:hAnsi="仿宋_GB2312" w:cs="仿宋_GB2312" w:eastAsia="仿宋_GB2312"/>
                      <w:sz w:val="24"/>
                      <w:color w:val="000000"/>
                    </w:rPr>
                    <w:t>8°/h</w:t>
                  </w:r>
                </w:p>
                <w:p>
                  <w:pPr>
                    <w:pStyle w:val="null3"/>
                    <w:jc w:val="both"/>
                  </w:pPr>
                  <w:r>
                    <w:rPr>
                      <w:rFonts w:ascii="仿宋_GB2312" w:hAnsi="仿宋_GB2312" w:cs="仿宋_GB2312" w:eastAsia="仿宋_GB2312"/>
                      <w:sz w:val="24"/>
                      <w:color w:val="000000"/>
                    </w:rPr>
                    <w:t>加速度计：</w:t>
                  </w:r>
                  <w:r>
                    <w:rPr>
                      <w:rFonts w:ascii="仿宋_GB2312" w:hAnsi="仿宋_GB2312" w:cs="仿宋_GB2312" w:eastAsia="仿宋_GB2312"/>
                      <w:sz w:val="24"/>
                      <w:color w:val="000000"/>
                    </w:rPr>
                    <w:t>60uG</w:t>
                  </w:r>
                </w:p>
                <w:p>
                  <w:pPr>
                    <w:pStyle w:val="null3"/>
                    <w:jc w:val="both"/>
                  </w:pPr>
                  <w:r>
                    <w:rPr>
                      <w:rFonts w:ascii="仿宋_GB2312" w:hAnsi="仿宋_GB2312" w:cs="仿宋_GB2312" w:eastAsia="仿宋_GB2312"/>
                      <w:sz w:val="24"/>
                      <w:color w:val="000000"/>
                    </w:rPr>
                    <w:t>通讯：</w:t>
                  </w:r>
                  <w:r>
                    <w:rPr>
                      <w:rFonts w:ascii="仿宋_GB2312" w:hAnsi="仿宋_GB2312" w:cs="仿宋_GB2312" w:eastAsia="仿宋_GB2312"/>
                      <w:sz w:val="24"/>
                      <w:color w:val="000000"/>
                    </w:rPr>
                    <w:t>USB转串口</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路由器</w:t>
                  </w:r>
                  <w:r>
                    <w:rPr>
                      <w:rFonts w:ascii="仿宋_GB2312" w:hAnsi="仿宋_GB2312" w:cs="仿宋_GB2312" w:eastAsia="仿宋_GB2312"/>
                      <w:sz w:val="24"/>
                      <w:color w:val="000000"/>
                    </w:rPr>
                    <w:t>1台</w:t>
                  </w:r>
                </w:p>
                <w:p>
                  <w:pPr>
                    <w:pStyle w:val="null3"/>
                    <w:jc w:val="both"/>
                  </w:pPr>
                  <w:r>
                    <w:rPr>
                      <w:rFonts w:ascii="仿宋_GB2312" w:hAnsi="仿宋_GB2312" w:cs="仿宋_GB2312" w:eastAsia="仿宋_GB2312"/>
                      <w:sz w:val="24"/>
                      <w:color w:val="000000"/>
                    </w:rPr>
                    <w:t>网络标准</w:t>
                  </w:r>
                  <w:r>
                    <w:rPr>
                      <w:rFonts w:ascii="仿宋_GB2312" w:hAnsi="仿宋_GB2312" w:cs="仿宋_GB2312" w:eastAsia="仿宋_GB2312"/>
                      <w:sz w:val="24"/>
                      <w:color w:val="000000"/>
                    </w:rPr>
                    <w:t>:802.11ac</w:t>
                  </w:r>
                </w:p>
                <w:p>
                  <w:pPr>
                    <w:pStyle w:val="null3"/>
                    <w:jc w:val="both"/>
                  </w:pPr>
                  <w:r>
                    <w:rPr>
                      <w:rFonts w:ascii="仿宋_GB2312" w:hAnsi="仿宋_GB2312" w:cs="仿宋_GB2312" w:eastAsia="仿宋_GB2312"/>
                      <w:sz w:val="24"/>
                      <w:color w:val="000000"/>
                    </w:rPr>
                    <w:t>无线网络支持频率</w:t>
                  </w:r>
                  <w:r>
                    <w:rPr>
                      <w:rFonts w:ascii="仿宋_GB2312" w:hAnsi="仿宋_GB2312" w:cs="仿宋_GB2312" w:eastAsia="仿宋_GB2312"/>
                      <w:sz w:val="24"/>
                      <w:color w:val="000000"/>
                    </w:rPr>
                    <w:t>:2.4G/5G</w:t>
                  </w:r>
                </w:p>
                <w:p>
                  <w:pPr>
                    <w:pStyle w:val="null3"/>
                    <w:jc w:val="both"/>
                  </w:pPr>
                  <w:r>
                    <w:rPr>
                      <w:rFonts w:ascii="仿宋_GB2312" w:hAnsi="仿宋_GB2312" w:cs="仿宋_GB2312" w:eastAsia="仿宋_GB2312"/>
                      <w:sz w:val="24"/>
                      <w:color w:val="000000"/>
                    </w:rPr>
                    <w:t>网口：</w:t>
                  </w:r>
                  <w:r>
                    <w:rPr>
                      <w:rFonts w:ascii="仿宋_GB2312" w:hAnsi="仿宋_GB2312" w:cs="仿宋_GB2312" w:eastAsia="仿宋_GB2312"/>
                      <w:sz w:val="24"/>
                      <w:color w:val="000000"/>
                    </w:rPr>
                    <w:t>1900M千兆端口*3</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CAN卡：1张</w:t>
                  </w:r>
                </w:p>
                <w:p>
                  <w:pPr>
                    <w:pStyle w:val="null3"/>
                    <w:jc w:val="both"/>
                  </w:pPr>
                  <w:r>
                    <w:rPr>
                      <w:rFonts w:ascii="仿宋_GB2312" w:hAnsi="仿宋_GB2312" w:cs="仿宋_GB2312" w:eastAsia="仿宋_GB2312"/>
                      <w:sz w:val="24"/>
                      <w:color w:val="000000"/>
                    </w:rPr>
                    <w:t>通讯：</w:t>
                  </w:r>
                  <w:r>
                    <w:rPr>
                      <w:rFonts w:ascii="仿宋_GB2312" w:hAnsi="仿宋_GB2312" w:cs="仿宋_GB2312" w:eastAsia="仿宋_GB2312"/>
                      <w:sz w:val="24"/>
                      <w:color w:val="000000"/>
                    </w:rPr>
                    <w:t>USB转CAN</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显示器：</w:t>
                  </w:r>
                </w:p>
                <w:p>
                  <w:pPr>
                    <w:pStyle w:val="null3"/>
                    <w:jc w:val="both"/>
                  </w:pPr>
                  <w:r>
                    <w:rPr>
                      <w:rFonts w:ascii="仿宋_GB2312" w:hAnsi="仿宋_GB2312" w:cs="仿宋_GB2312" w:eastAsia="仿宋_GB2312"/>
                      <w:sz w:val="24"/>
                      <w:color w:val="000000"/>
                    </w:rPr>
                    <w:t>屏类型：</w:t>
                  </w:r>
                  <w:r>
                    <w:rPr>
                      <w:rFonts w:ascii="仿宋_GB2312" w:hAnsi="仿宋_GB2312" w:cs="仿宋_GB2312" w:eastAsia="仿宋_GB2312"/>
                      <w:sz w:val="24"/>
                      <w:color w:val="000000"/>
                    </w:rPr>
                    <w:t>LED 液晶屏(a-Si TFT-LCD WLED 背光)A规</w:t>
                  </w:r>
                </w:p>
                <w:p>
                  <w:pPr>
                    <w:pStyle w:val="null3"/>
                    <w:jc w:val="both"/>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13</w:t>
                  </w:r>
                  <w:r>
                    <w:rPr>
                      <w:rFonts w:ascii="仿宋_GB2312" w:hAnsi="仿宋_GB2312" w:cs="仿宋_GB2312" w:eastAsia="仿宋_GB2312"/>
                      <w:sz w:val="24"/>
                      <w:color w:val="000000"/>
                    </w:rPr>
                    <w:t>吋</w:t>
                  </w:r>
                  <w:r>
                    <w:rPr>
                      <w:rFonts w:ascii="仿宋_GB2312" w:hAnsi="仿宋_GB2312" w:cs="仿宋_GB2312" w:eastAsia="仿宋_GB2312"/>
                      <w:sz w:val="24"/>
                      <w:color w:val="000000"/>
                    </w:rPr>
                    <w:t>(16:9)</w:t>
                  </w:r>
                </w:p>
                <w:p>
                  <w:pPr>
                    <w:pStyle w:val="null3"/>
                    <w:jc w:val="both"/>
                  </w:pP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1920*1080</w:t>
                  </w:r>
                </w:p>
                <w:p>
                  <w:pPr>
                    <w:pStyle w:val="null3"/>
                    <w:jc w:val="both"/>
                  </w:pPr>
                  <w:r>
                    <w:rPr>
                      <w:rFonts w:ascii="仿宋_GB2312" w:hAnsi="仿宋_GB2312" w:cs="仿宋_GB2312" w:eastAsia="仿宋_GB2312"/>
                      <w:sz w:val="24"/>
                      <w:color w:val="000000"/>
                    </w:rPr>
                    <w:t>智能搬运机器人系统开发服务</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机器人导航功能：</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建图模块：</w:t>
                  </w:r>
                </w:p>
                <w:p>
                  <w:pPr>
                    <w:pStyle w:val="null3"/>
                    <w:jc w:val="both"/>
                  </w:pPr>
                  <w:r>
                    <w:rPr>
                      <w:rFonts w:ascii="仿宋_GB2312" w:hAnsi="仿宋_GB2312" w:cs="仿宋_GB2312" w:eastAsia="仿宋_GB2312"/>
                      <w:sz w:val="24"/>
                      <w:color w:val="000000"/>
                    </w:rPr>
                    <w:t>室内外建图功能</w:t>
                  </w:r>
                </w:p>
                <w:p>
                  <w:pPr>
                    <w:pStyle w:val="null3"/>
                    <w:jc w:val="both"/>
                  </w:pPr>
                  <w:r>
                    <w:rPr>
                      <w:rFonts w:ascii="仿宋_GB2312" w:hAnsi="仿宋_GB2312" w:cs="仿宋_GB2312" w:eastAsia="仿宋_GB2312"/>
                      <w:sz w:val="24"/>
                      <w:color w:val="000000"/>
                    </w:rPr>
                    <w:t>实现室内外半结构化场景</w:t>
                  </w:r>
                </w:p>
                <w:p>
                  <w:pPr>
                    <w:pStyle w:val="null3"/>
                    <w:jc w:val="both"/>
                  </w:pPr>
                  <w:r>
                    <w:rPr>
                      <w:rFonts w:ascii="仿宋_GB2312" w:hAnsi="仿宋_GB2312" w:cs="仿宋_GB2312" w:eastAsia="仿宋_GB2312"/>
                      <w:sz w:val="24"/>
                      <w:color w:val="000000"/>
                    </w:rPr>
                    <w:t>创建</w:t>
                  </w:r>
                  <w:r>
                    <w:rPr>
                      <w:rFonts w:ascii="仿宋_GB2312" w:hAnsi="仿宋_GB2312" w:cs="仿宋_GB2312" w:eastAsia="仿宋_GB2312"/>
                      <w:sz w:val="24"/>
                      <w:color w:val="000000"/>
                    </w:rPr>
                    <w:t>3D点云图</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地图编辑模块：</w:t>
                  </w:r>
                  <w:r>
                    <w:br/>
                  </w:r>
                  <w:r>
                    <w:rPr>
                      <w:rFonts w:ascii="仿宋_GB2312" w:hAnsi="仿宋_GB2312" w:cs="仿宋_GB2312" w:eastAsia="仿宋_GB2312"/>
                      <w:sz w:val="24"/>
                      <w:color w:val="000000"/>
                    </w:rPr>
                    <w:t>擦除障碍物功能：擦除地图上通行区域的障碍物，在修图软件上擦除地图上的临时障碍物；</w:t>
                  </w:r>
                </w:p>
                <w:p>
                  <w:pPr>
                    <w:pStyle w:val="null3"/>
                    <w:jc w:val="both"/>
                  </w:pPr>
                  <w:r>
                    <w:rPr>
                      <w:rFonts w:ascii="仿宋_GB2312" w:hAnsi="仿宋_GB2312" w:cs="仿宋_GB2312" w:eastAsia="仿宋_GB2312"/>
                      <w:sz w:val="24"/>
                      <w:color w:val="000000"/>
                    </w:rPr>
                    <w:t>效果：能够擦除障碍物、机器人能够进入被擦除区域；</w:t>
                  </w:r>
                </w:p>
                <w:p>
                  <w:pPr>
                    <w:pStyle w:val="null3"/>
                    <w:jc w:val="both"/>
                  </w:pPr>
                  <w:r>
                    <w:rPr>
                      <w:rFonts w:ascii="仿宋_GB2312" w:hAnsi="仿宋_GB2312" w:cs="仿宋_GB2312" w:eastAsia="仿宋_GB2312"/>
                      <w:sz w:val="24"/>
                      <w:color w:val="000000"/>
                    </w:rPr>
                    <w:t>绘制虚拟墙功能：绘制虚拟墙，阻隔机器人进入虚拟墙区域；</w:t>
                  </w:r>
                </w:p>
                <w:p>
                  <w:pPr>
                    <w:pStyle w:val="null3"/>
                    <w:jc w:val="both"/>
                  </w:pPr>
                  <w:r>
                    <w:rPr>
                      <w:rFonts w:ascii="仿宋_GB2312" w:hAnsi="仿宋_GB2312" w:cs="仿宋_GB2312" w:eastAsia="仿宋_GB2312"/>
                      <w:sz w:val="24"/>
                      <w:color w:val="000000"/>
                    </w:rPr>
                    <w:t>在修图软件上绘制虚拟墙，阻隔机器人进入某个区域；</w:t>
                  </w:r>
                </w:p>
                <w:p>
                  <w:pPr>
                    <w:pStyle w:val="null3"/>
                    <w:jc w:val="both"/>
                  </w:pPr>
                  <w:r>
                    <w:rPr>
                      <w:rFonts w:ascii="仿宋_GB2312" w:hAnsi="仿宋_GB2312" w:cs="仿宋_GB2312" w:eastAsia="仿宋_GB2312"/>
                      <w:sz w:val="24"/>
                      <w:color w:val="000000"/>
                    </w:rPr>
                    <w:t>效果：可生成虚拟墙、执行</w:t>
                  </w:r>
                  <w:r>
                    <w:rPr>
                      <w:rFonts w:ascii="仿宋_GB2312" w:hAnsi="仿宋_GB2312" w:cs="仿宋_GB2312" w:eastAsia="仿宋_GB2312"/>
                      <w:sz w:val="24"/>
                      <w:color w:val="000000"/>
                    </w:rPr>
                    <w:t>AB点自由导航，机器人不会进入虚拟墙；</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路径录制模块</w:t>
                  </w:r>
                </w:p>
                <w:p>
                  <w:pPr>
                    <w:pStyle w:val="null3"/>
                    <w:jc w:val="both"/>
                  </w:pPr>
                  <w:r>
                    <w:rPr>
                      <w:rFonts w:ascii="仿宋_GB2312" w:hAnsi="仿宋_GB2312" w:cs="仿宋_GB2312" w:eastAsia="仿宋_GB2312"/>
                      <w:sz w:val="24"/>
                      <w:color w:val="000000"/>
                    </w:rPr>
                    <w:t>录制路径功能：新建录制路径，录制路径</w:t>
                  </w:r>
                  <w:r>
                    <w:rPr>
                      <w:rFonts w:ascii="仿宋_GB2312" w:hAnsi="仿宋_GB2312" w:cs="仿宋_GB2312" w:eastAsia="仿宋_GB2312"/>
                      <w:sz w:val="24"/>
                      <w:color w:val="000000"/>
                    </w:rPr>
                    <w:t>-通过控制机器人行走得到的路径；</w:t>
                  </w:r>
                </w:p>
                <w:p>
                  <w:pPr>
                    <w:pStyle w:val="null3"/>
                    <w:jc w:val="both"/>
                  </w:pPr>
                  <w:r>
                    <w:rPr>
                      <w:rFonts w:ascii="仿宋_GB2312" w:hAnsi="仿宋_GB2312" w:cs="仿宋_GB2312" w:eastAsia="仿宋_GB2312"/>
                      <w:sz w:val="24"/>
                      <w:color w:val="000000"/>
                    </w:rPr>
                    <w:t>效果：可成功录制路径、机器人可按照录制时操作的路径进行导航；</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定位模块</w:t>
                  </w:r>
                </w:p>
                <w:p>
                  <w:pPr>
                    <w:pStyle w:val="null3"/>
                    <w:jc w:val="both"/>
                  </w:pPr>
                  <w:r>
                    <w:rPr>
                      <w:rFonts w:ascii="仿宋_GB2312" w:hAnsi="仿宋_GB2312" w:cs="仿宋_GB2312" w:eastAsia="仿宋_GB2312"/>
                      <w:sz w:val="24"/>
                      <w:color w:val="000000"/>
                    </w:rPr>
                    <w:t>任务点定位功能：机器人导航到达指定任务点定位、实时定位，机器人判断所在位置定位精度</w:t>
                  </w:r>
                  <w:r>
                    <w:rPr>
                      <w:rFonts w:ascii="仿宋_GB2312" w:hAnsi="仿宋_GB2312" w:cs="仿宋_GB2312" w:eastAsia="仿宋_GB2312"/>
                      <w:sz w:val="24"/>
                      <w:color w:val="000000"/>
                    </w:rPr>
                    <w:t>-基于原始传感器数据，机器人获悉自身准确位置坐标；</w:t>
                  </w:r>
                </w:p>
                <w:p>
                  <w:pPr>
                    <w:pStyle w:val="null3"/>
                    <w:jc w:val="both"/>
                  </w:pPr>
                  <w:r>
                    <w:rPr>
                      <w:rFonts w:ascii="仿宋_GB2312" w:hAnsi="仿宋_GB2312" w:cs="仿宋_GB2312" w:eastAsia="仿宋_GB2312"/>
                      <w:sz w:val="24"/>
                      <w:color w:val="000000"/>
                    </w:rPr>
                    <w:t>效果</w:t>
                  </w:r>
                  <w:r>
                    <w:rPr>
                      <w:rFonts w:ascii="仿宋_GB2312" w:hAnsi="仿宋_GB2312" w:cs="仿宋_GB2312" w:eastAsia="仿宋_GB2312"/>
                      <w:sz w:val="24"/>
                      <w:color w:val="000000"/>
                    </w:rPr>
                    <w:t>:可到达任务点、底盘调整后的定位精度达到水平精度±10cm，转角精度±5°</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导航模块</w:t>
                  </w:r>
                </w:p>
                <w:p>
                  <w:pPr>
                    <w:pStyle w:val="null3"/>
                    <w:jc w:val="both"/>
                  </w:pPr>
                  <w:r>
                    <w:rPr>
                      <w:rFonts w:ascii="仿宋_GB2312" w:hAnsi="仿宋_GB2312" w:cs="仿宋_GB2312" w:eastAsia="仿宋_GB2312"/>
                      <w:sz w:val="24"/>
                      <w:color w:val="000000"/>
                    </w:rPr>
                    <w:t>单</w:t>
                  </w:r>
                  <w:r>
                    <w:rPr>
                      <w:rFonts w:ascii="仿宋_GB2312" w:hAnsi="仿宋_GB2312" w:cs="仿宋_GB2312" w:eastAsia="仿宋_GB2312"/>
                      <w:sz w:val="24"/>
                      <w:color w:val="000000"/>
                    </w:rPr>
                    <w:t>/多任务点导航功能：机器人导航到达指定任务点、导航-机器人通过自身当前位置及地图信息，规划到目标点的导航路径，进而到达目标任务点；</w:t>
                  </w:r>
                </w:p>
                <w:p>
                  <w:pPr>
                    <w:pStyle w:val="null3"/>
                    <w:jc w:val="both"/>
                  </w:pPr>
                  <w:r>
                    <w:rPr>
                      <w:rFonts w:ascii="仿宋_GB2312" w:hAnsi="仿宋_GB2312" w:cs="仿宋_GB2312" w:eastAsia="仿宋_GB2312"/>
                      <w:sz w:val="24"/>
                      <w:color w:val="000000"/>
                    </w:rPr>
                    <w:t>效果：机器人可正常在设定的多点之间循环导航</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避障模块</w:t>
                  </w:r>
                </w:p>
                <w:p>
                  <w:pPr>
                    <w:pStyle w:val="null3"/>
                    <w:jc w:val="both"/>
                  </w:pPr>
                  <w:r>
                    <w:rPr>
                      <w:rFonts w:ascii="仿宋_GB2312" w:hAnsi="仿宋_GB2312" w:cs="仿宋_GB2312" w:eastAsia="仿宋_GB2312"/>
                      <w:sz w:val="24"/>
                      <w:color w:val="000000"/>
                    </w:rPr>
                    <w:t>执行自由导航任务遇静态障物绕障功能：</w:t>
                  </w:r>
                </w:p>
                <w:p>
                  <w:pPr>
                    <w:pStyle w:val="null3"/>
                    <w:jc w:val="both"/>
                  </w:pPr>
                  <w:r>
                    <w:rPr>
                      <w:rFonts w:ascii="仿宋_GB2312" w:hAnsi="仿宋_GB2312" w:cs="仿宋_GB2312" w:eastAsia="仿宋_GB2312"/>
                      <w:sz w:val="24"/>
                      <w:color w:val="000000"/>
                    </w:rPr>
                    <w:t>a、静态障碍物-路径上大于10×10×100cm</w:t>
                  </w:r>
                  <w:r>
                    <w:br/>
                  </w:r>
                  <w:r>
                    <w:rPr>
                      <w:rFonts w:ascii="仿宋_GB2312" w:hAnsi="仿宋_GB2312" w:cs="仿宋_GB2312" w:eastAsia="仿宋_GB2312"/>
                      <w:sz w:val="24"/>
                      <w:color w:val="000000"/>
                    </w:rPr>
                    <w:t>b、障碍物距离任务点大于4m</w:t>
                  </w:r>
                  <w:r>
                    <w:br/>
                  </w:r>
                  <w:r>
                    <w:rPr>
                      <w:rFonts w:ascii="仿宋_GB2312" w:hAnsi="仿宋_GB2312" w:cs="仿宋_GB2312" w:eastAsia="仿宋_GB2312"/>
                      <w:sz w:val="24"/>
                      <w:color w:val="000000"/>
                    </w:rPr>
                    <w:t>c、可正常绕障</w:t>
                  </w:r>
                </w:p>
                <w:p>
                  <w:pPr>
                    <w:pStyle w:val="null3"/>
                    <w:jc w:val="both"/>
                  </w:pPr>
                  <w:r>
                    <w:rPr>
                      <w:rFonts w:ascii="仿宋_GB2312" w:hAnsi="仿宋_GB2312" w:cs="仿宋_GB2312" w:eastAsia="仿宋_GB2312"/>
                      <w:sz w:val="24"/>
                      <w:color w:val="000000"/>
                    </w:rPr>
                    <w:t>效果：机器人在障碍物前方</w:t>
                  </w:r>
                  <w:r>
                    <w:rPr>
                      <w:rFonts w:ascii="仿宋_GB2312" w:hAnsi="仿宋_GB2312" w:cs="仿宋_GB2312" w:eastAsia="仿宋_GB2312"/>
                      <w:sz w:val="24"/>
                      <w:color w:val="000000"/>
                    </w:rPr>
                    <w:t>1m~2m处进行绕障、机器人可到达任务点</w:t>
                  </w:r>
                </w:p>
                <w:p>
                  <w:pPr>
                    <w:pStyle w:val="null3"/>
                    <w:jc w:val="both"/>
                  </w:pPr>
                  <w:r>
                    <w:rPr>
                      <w:rFonts w:ascii="仿宋_GB2312" w:hAnsi="仿宋_GB2312" w:cs="仿宋_GB2312" w:eastAsia="仿宋_GB2312"/>
                      <w:sz w:val="24"/>
                      <w:color w:val="000000"/>
                    </w:rPr>
                    <w:t>执行自由导航任务遇低速动态障物功能：</w:t>
                  </w:r>
                  <w:r>
                    <w:br/>
                  </w:r>
                  <w:r>
                    <w:rPr>
                      <w:rFonts w:ascii="仿宋_GB2312" w:hAnsi="仿宋_GB2312" w:cs="仿宋_GB2312" w:eastAsia="仿宋_GB2312"/>
                      <w:sz w:val="24"/>
                      <w:color w:val="000000"/>
                    </w:rPr>
                    <w:t>a、动态障碍物-路径上大于10×10×100cm</w:t>
                  </w:r>
                  <w:r>
                    <w:br/>
                  </w:r>
                  <w:r>
                    <w:rPr>
                      <w:rFonts w:ascii="仿宋_GB2312" w:hAnsi="仿宋_GB2312" w:cs="仿宋_GB2312" w:eastAsia="仿宋_GB2312"/>
                      <w:sz w:val="24"/>
                      <w:color w:val="000000"/>
                    </w:rPr>
                    <w:t>b、障碍物距离任务点大于4m</w:t>
                  </w:r>
                  <w:r>
                    <w:br/>
                  </w:r>
                  <w:r>
                    <w:rPr>
                      <w:rFonts w:ascii="仿宋_GB2312" w:hAnsi="仿宋_GB2312" w:cs="仿宋_GB2312" w:eastAsia="仿宋_GB2312"/>
                      <w:sz w:val="24"/>
                      <w:color w:val="000000"/>
                    </w:rPr>
                    <w:t>c、调整后可绕过障碍物</w:t>
                  </w:r>
                </w:p>
                <w:p>
                  <w:pPr>
                    <w:pStyle w:val="null3"/>
                    <w:jc w:val="both"/>
                  </w:pPr>
                  <w:r>
                    <w:rPr>
                      <w:rFonts w:ascii="仿宋_GB2312" w:hAnsi="仿宋_GB2312" w:cs="仿宋_GB2312" w:eastAsia="仿宋_GB2312"/>
                      <w:sz w:val="24"/>
                      <w:color w:val="000000"/>
                    </w:rPr>
                    <w:t>效果：可绕过障碍物、机器人可到达任务点</w:t>
                  </w:r>
                </w:p>
                <w:p>
                  <w:pPr>
                    <w:pStyle w:val="null3"/>
                    <w:jc w:val="both"/>
                  </w:pPr>
                  <w:r>
                    <w:rPr>
                      <w:rFonts w:ascii="仿宋_GB2312" w:hAnsi="仿宋_GB2312" w:cs="仿宋_GB2312" w:eastAsia="仿宋_GB2312"/>
                      <w:sz w:val="24"/>
                      <w:color w:val="000000"/>
                    </w:rPr>
                    <w:t>执行录制路径任务遇静态障碍物停障功能：</w:t>
                  </w:r>
                </w:p>
                <w:p>
                  <w:pPr>
                    <w:pStyle w:val="null3"/>
                    <w:jc w:val="both"/>
                  </w:pPr>
                  <w:r>
                    <w:rPr>
                      <w:rFonts w:ascii="仿宋_GB2312" w:hAnsi="仿宋_GB2312" w:cs="仿宋_GB2312" w:eastAsia="仿宋_GB2312"/>
                      <w:sz w:val="24"/>
                      <w:color w:val="000000"/>
                    </w:rPr>
                    <w:t>a、静态障碍物-路径上大于10×10×100cm</w:t>
                  </w:r>
                  <w:r>
                    <w:br/>
                  </w:r>
                  <w:r>
                    <w:rPr>
                      <w:rFonts w:ascii="仿宋_GB2312" w:hAnsi="仿宋_GB2312" w:cs="仿宋_GB2312" w:eastAsia="仿宋_GB2312"/>
                      <w:sz w:val="24"/>
                      <w:color w:val="000000"/>
                    </w:rPr>
                    <w:t>b、遇障可及时停止</w:t>
                  </w:r>
                </w:p>
                <w:p>
                  <w:pPr>
                    <w:pStyle w:val="null3"/>
                    <w:jc w:val="both"/>
                  </w:pPr>
                  <w:r>
                    <w:rPr>
                      <w:rFonts w:ascii="仿宋_GB2312" w:hAnsi="仿宋_GB2312" w:cs="仿宋_GB2312" w:eastAsia="仿宋_GB2312"/>
                      <w:sz w:val="24"/>
                      <w:color w:val="000000"/>
                    </w:rPr>
                    <w:t>效果：遇障可及时停止</w:t>
                  </w:r>
                </w:p>
                <w:p>
                  <w:pPr>
                    <w:pStyle w:val="null3"/>
                    <w:jc w:val="both"/>
                  </w:pPr>
                  <w:r>
                    <w:rPr>
                      <w:rFonts w:ascii="仿宋_GB2312" w:hAnsi="仿宋_GB2312" w:cs="仿宋_GB2312" w:eastAsia="仿宋_GB2312"/>
                      <w:sz w:val="24"/>
                      <w:color w:val="000000"/>
                    </w:rPr>
                    <w:t>执行录制路径任务遇低速动态障物功能：</w:t>
                  </w:r>
                </w:p>
                <w:p>
                  <w:pPr>
                    <w:pStyle w:val="null3"/>
                    <w:jc w:val="both"/>
                  </w:pPr>
                  <w:r>
                    <w:rPr>
                      <w:rFonts w:ascii="仿宋_GB2312" w:hAnsi="仿宋_GB2312" w:cs="仿宋_GB2312" w:eastAsia="仿宋_GB2312"/>
                      <w:sz w:val="24"/>
                      <w:color w:val="000000"/>
                    </w:rPr>
                    <w:t>a、动态障碍物-路径上大于10×10×100cm</w:t>
                  </w:r>
                  <w:r>
                    <w:br/>
                  </w:r>
                  <w:r>
                    <w:rPr>
                      <w:rFonts w:ascii="仿宋_GB2312" w:hAnsi="仿宋_GB2312" w:cs="仿宋_GB2312" w:eastAsia="仿宋_GB2312"/>
                      <w:sz w:val="24"/>
                      <w:color w:val="000000"/>
                    </w:rPr>
                    <w:t>b、遇障可及时停止</w:t>
                  </w:r>
                </w:p>
                <w:p>
                  <w:pPr>
                    <w:pStyle w:val="null3"/>
                    <w:jc w:val="both"/>
                  </w:pPr>
                  <w:r>
                    <w:rPr>
                      <w:rFonts w:ascii="仿宋_GB2312" w:hAnsi="仿宋_GB2312" w:cs="仿宋_GB2312" w:eastAsia="仿宋_GB2312"/>
                      <w:sz w:val="24"/>
                      <w:color w:val="000000"/>
                    </w:rPr>
                    <w:t>效果：遇障可及时停止、障碍物离开路径后机器人可继续执行导航，并顺利到达任务点</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功能模块</w:t>
                  </w:r>
                </w:p>
                <w:p>
                  <w:pPr>
                    <w:pStyle w:val="null3"/>
                    <w:jc w:val="both"/>
                  </w:pPr>
                  <w:r>
                    <w:rPr>
                      <w:rFonts w:ascii="仿宋_GB2312" w:hAnsi="仿宋_GB2312" w:cs="仿宋_GB2312" w:eastAsia="仿宋_GB2312"/>
                      <w:sz w:val="24"/>
                      <w:color w:val="000000"/>
                    </w:rPr>
                    <w:t>机器人</w:t>
                  </w:r>
                  <w:r>
                    <w:rPr>
                      <w:rFonts w:ascii="仿宋_GB2312" w:hAnsi="仿宋_GB2312" w:cs="仿宋_GB2312" w:eastAsia="仿宋_GB2312"/>
                      <w:sz w:val="24"/>
                      <w:color w:val="000000"/>
                    </w:rPr>
                    <w:t>3D多线导航系统代码全开源，且提供API接口和商用级APP，可获取机器人设备信息，实现建图、定位、导航、自主充电（需使用图形化app实现自主充电规划）、减速带、斜坡、绕障和状态读取功能，支持客户任意二次开发。并提供开源导航详细功能使用手册，需包含功能点详细使用说明。</w:t>
                  </w:r>
                </w:p>
                <w:p>
                  <w:pPr>
                    <w:pStyle w:val="null3"/>
                    <w:jc w:val="both"/>
                  </w:pPr>
                  <w:r>
                    <w:rPr>
                      <w:rFonts w:ascii="仿宋_GB2312" w:hAnsi="仿宋_GB2312" w:cs="仿宋_GB2312" w:eastAsia="仿宋_GB2312"/>
                      <w:sz w:val="24"/>
                      <w:color w:val="000000"/>
                    </w:rPr>
                    <w:t>▲双向安全逻辑：</w:t>
                  </w:r>
                </w:p>
                <w:p>
                  <w:pPr>
                    <w:pStyle w:val="null3"/>
                    <w:jc w:val="both"/>
                  </w:pPr>
                  <w:r>
                    <w:rPr>
                      <w:rFonts w:ascii="仿宋_GB2312" w:hAnsi="仿宋_GB2312" w:cs="仿宋_GB2312" w:eastAsia="仿宋_GB2312"/>
                      <w:sz w:val="24"/>
                      <w:color w:val="000000"/>
                    </w:rPr>
                    <w:t>1.1整车CAN节点在线监测保护安全逻辑：如外部工控机损坏、通讯阻塞、通信线路断开等故障，VCU于400ms内无法接收到工控机指令后，VCU自动控制车辆停车并进入驻车。</w:t>
                  </w:r>
                </w:p>
                <w:p>
                  <w:pPr>
                    <w:pStyle w:val="null3"/>
                    <w:jc w:val="both"/>
                  </w:pPr>
                  <w:r>
                    <w:rPr>
                      <w:rFonts w:ascii="仿宋_GB2312" w:hAnsi="仿宋_GB2312" w:cs="仿宋_GB2312" w:eastAsia="仿宋_GB2312"/>
                      <w:sz w:val="24"/>
                      <w:color w:val="000000"/>
                    </w:rPr>
                    <w:t>1.2如VCU内部硬件损坏，在400ms 内无法接收CAN指令，车辆即刻停车，并进入驻车。</w:t>
                  </w:r>
                </w:p>
                <w:p>
                  <w:pPr>
                    <w:pStyle w:val="null3"/>
                    <w:jc w:val="both"/>
                  </w:pPr>
                  <w:r>
                    <w:rPr>
                      <w:rFonts w:ascii="仿宋_GB2312" w:hAnsi="仿宋_GB2312" w:cs="仿宋_GB2312" w:eastAsia="仿宋_GB2312"/>
                      <w:sz w:val="24"/>
                      <w:color w:val="000000"/>
                    </w:rPr>
                    <w:t>1.3 指令效验安全逻辑：VCU在接收到错误指令后，即使整车CAN节点在线，车辆也不启动，只有在指令效验正确，CAN节点同步在线情况下，车辆启动。</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VCU需具有车辆3级故障响应与保护逻辑：</w:t>
                  </w:r>
                </w:p>
                <w:p>
                  <w:pPr>
                    <w:pStyle w:val="null3"/>
                    <w:jc w:val="both"/>
                  </w:pPr>
                  <w:r>
                    <w:rPr>
                      <w:rFonts w:ascii="仿宋_GB2312" w:hAnsi="仿宋_GB2312" w:cs="仿宋_GB2312" w:eastAsia="仿宋_GB2312"/>
                      <w:sz w:val="24"/>
                      <w:color w:val="000000"/>
                    </w:rPr>
                    <w:t xml:space="preserve">1级警报：车辆灯光闪缩报警逻辑 </w:t>
                  </w:r>
                </w:p>
                <w:p>
                  <w:pPr>
                    <w:pStyle w:val="null3"/>
                    <w:jc w:val="both"/>
                  </w:pPr>
                  <w:r>
                    <w:rPr>
                      <w:rFonts w:ascii="仿宋_GB2312" w:hAnsi="仿宋_GB2312" w:cs="仿宋_GB2312" w:eastAsia="仿宋_GB2312"/>
                      <w:sz w:val="24"/>
                      <w:color w:val="000000"/>
                    </w:rPr>
                    <w:t>2级警报：整车功率限制逻辑</w:t>
                  </w:r>
                </w:p>
                <w:p>
                  <w:pPr>
                    <w:pStyle w:val="null3"/>
                    <w:jc w:val="both"/>
                  </w:pPr>
                  <w:r>
                    <w:rPr>
                      <w:rFonts w:ascii="仿宋_GB2312" w:hAnsi="仿宋_GB2312" w:cs="仿宋_GB2312" w:eastAsia="仿宋_GB2312"/>
                      <w:sz w:val="24"/>
                      <w:color w:val="000000"/>
                    </w:rPr>
                    <w:t>3级警报：紧急停车逻辑</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VCU需具备整车部件故障实时监测逻辑</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1</w:t>
                  </w:r>
                  <w:r>
                    <w:rPr>
                      <w:rFonts w:ascii="仿宋_GB2312" w:hAnsi="仿宋_GB2312" w:cs="仿宋_GB2312" w:eastAsia="仿宋_GB2312"/>
                      <w:sz w:val="24"/>
                      <w:color w:val="000000"/>
                    </w:rPr>
                    <w:t>.1 VCU具备底盘控制节点在线检测：车辆驱动器、BMS、遥控器、遥控器开关机状态实时检测；</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1</w:t>
                  </w:r>
                  <w:r>
                    <w:rPr>
                      <w:rFonts w:ascii="仿宋_GB2312" w:hAnsi="仿宋_GB2312" w:cs="仿宋_GB2312" w:eastAsia="仿宋_GB2312"/>
                      <w:sz w:val="24"/>
                      <w:color w:val="000000"/>
                    </w:rPr>
                    <w:t>.2 VCU具备底盘控制节点故障诊断功能：实时监控驱动器、BMS、遥控器、急停等部件运行状态。具有节点故障分析上报能力，并支持精准定位故障位置；</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1</w:t>
                  </w:r>
                  <w:r>
                    <w:rPr>
                      <w:rFonts w:ascii="仿宋_GB2312" w:hAnsi="仿宋_GB2312" w:cs="仿宋_GB2312" w:eastAsia="仿宋_GB2312"/>
                      <w:sz w:val="24"/>
                      <w:color w:val="000000"/>
                    </w:rPr>
                    <w:t>.3 VCU根据车辆停车、降功率、报警等车辆故障现象反馈响应反馈车辆底盘故障信息，制定与执行安全措施。</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智能机器人教学实训平台</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1.CPU：等同或优于八核处理器；</w:t>
                  </w:r>
                  <w:r>
                    <w:rPr>
                      <w:rFonts w:ascii="仿宋_GB2312" w:hAnsi="仿宋_GB2312" w:cs="仿宋_GB2312" w:eastAsia="仿宋_GB2312"/>
                      <w:sz w:val="24"/>
                      <w:color w:val="000000"/>
                    </w:rPr>
                    <w:t>CPU</w:t>
                  </w:r>
                  <w:r>
                    <w:rPr>
                      <w:rFonts w:ascii="仿宋_GB2312" w:hAnsi="仿宋_GB2312" w:cs="仿宋_GB2312" w:eastAsia="仿宋_GB2312"/>
                      <w:sz w:val="24"/>
                      <w:color w:val="000000"/>
                    </w:rPr>
                    <w:t>频率</w:t>
                  </w:r>
                  <w:r>
                    <w:rPr>
                      <w:rFonts w:ascii="仿宋_GB2312" w:hAnsi="仿宋_GB2312" w:cs="仿宋_GB2312" w:eastAsia="仿宋_GB2312"/>
                      <w:sz w:val="24"/>
                      <w:color w:val="000000"/>
                    </w:rPr>
                    <w:t>2GHz (Max)；2MB L2 + 4MB L3</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2.GPU：≧1024CUDACores；≧32TensorCores；</w:t>
                  </w:r>
                </w:p>
                <w:p>
                  <w:pPr>
                    <w:pStyle w:val="null3"/>
                    <w:jc w:val="both"/>
                  </w:pPr>
                  <w:r>
                    <w:rPr>
                      <w:rFonts w:ascii="仿宋_GB2312" w:hAnsi="仿宋_GB2312" w:cs="仿宋_GB2312" w:eastAsia="仿宋_GB2312"/>
                      <w:sz w:val="24"/>
                      <w:color w:val="000000"/>
                    </w:rPr>
                    <w:t>3.AI算力：≧100TOPS INT8</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4.内存与存储：≧16GB LPDDR5，≧256GB SSD；</w:t>
                  </w:r>
                </w:p>
                <w:p>
                  <w:pPr>
                    <w:pStyle w:val="null3"/>
                    <w:jc w:val="both"/>
                  </w:pPr>
                  <w:r>
                    <w:rPr>
                      <w:rFonts w:ascii="仿宋_GB2312" w:hAnsi="仿宋_GB2312" w:cs="仿宋_GB2312" w:eastAsia="仿宋_GB2312"/>
                      <w:sz w:val="24"/>
                      <w:color w:val="000000"/>
                    </w:rPr>
                    <w:t>5.显示接口：支持HDMI2.0或DP；</w:t>
                  </w:r>
                </w:p>
                <w:p>
                  <w:pPr>
                    <w:pStyle w:val="null3"/>
                    <w:jc w:val="both"/>
                  </w:pPr>
                  <w:r>
                    <w:rPr>
                      <w:rFonts w:ascii="仿宋_GB2312" w:hAnsi="仿宋_GB2312" w:cs="仿宋_GB2312" w:eastAsia="仿宋_GB2312"/>
                      <w:sz w:val="24"/>
                      <w:color w:val="000000"/>
                    </w:rPr>
                    <w:t>6.显示屏大小：≧14</w:t>
                  </w:r>
                  <w:r>
                    <w:rPr>
                      <w:rFonts w:ascii="仿宋_GB2312" w:hAnsi="仿宋_GB2312" w:cs="仿宋_GB2312" w:eastAsia="仿宋_GB2312"/>
                      <w:sz w:val="24"/>
                      <w:color w:val="000000"/>
                    </w:rPr>
                    <w:t>吋</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7.显示屏分辨率：≧1920*1080；</w:t>
                  </w:r>
                </w:p>
                <w:p>
                  <w:pPr>
                    <w:pStyle w:val="null3"/>
                    <w:jc w:val="both"/>
                  </w:pPr>
                  <w:r>
                    <w:rPr>
                      <w:rFonts w:ascii="仿宋_GB2312" w:hAnsi="仿宋_GB2312" w:cs="仿宋_GB2312" w:eastAsia="仿宋_GB2312"/>
                      <w:sz w:val="24"/>
                      <w:color w:val="000000"/>
                    </w:rPr>
                    <w:t>8.激光雷达测距范围：≧10米；</w:t>
                  </w:r>
                </w:p>
                <w:p>
                  <w:pPr>
                    <w:pStyle w:val="null3"/>
                    <w:jc w:val="both"/>
                  </w:pPr>
                  <w:r>
                    <w:rPr>
                      <w:rFonts w:ascii="仿宋_GB2312" w:hAnsi="仿宋_GB2312" w:cs="仿宋_GB2312" w:eastAsia="仿宋_GB2312"/>
                      <w:sz w:val="24"/>
                      <w:color w:val="000000"/>
                    </w:rPr>
                    <w:t>9.激光雷达扫描角度：0-360度；</w:t>
                  </w:r>
                </w:p>
                <w:p>
                  <w:pPr>
                    <w:pStyle w:val="null3"/>
                    <w:jc w:val="both"/>
                  </w:pPr>
                  <w:r>
                    <w:rPr>
                      <w:rFonts w:ascii="仿宋_GB2312" w:hAnsi="仿宋_GB2312" w:cs="仿宋_GB2312" w:eastAsia="仿宋_GB2312"/>
                      <w:sz w:val="24"/>
                      <w:color w:val="000000"/>
                    </w:rPr>
                    <w:t>10.线数：16线；</w:t>
                  </w:r>
                </w:p>
                <w:p>
                  <w:pPr>
                    <w:pStyle w:val="null3"/>
                    <w:jc w:val="both"/>
                  </w:pPr>
                  <w:r>
                    <w:rPr>
                      <w:rFonts w:ascii="仿宋_GB2312" w:hAnsi="仿宋_GB2312" w:cs="仿宋_GB2312" w:eastAsia="仿宋_GB2312"/>
                      <w:sz w:val="24"/>
                      <w:color w:val="000000"/>
                    </w:rPr>
                    <w:t>11.测距分辨率：＜0.5毫米；</w:t>
                  </w:r>
                </w:p>
                <w:p>
                  <w:pPr>
                    <w:pStyle w:val="null3"/>
                    <w:jc w:val="both"/>
                  </w:pPr>
                  <w:r>
                    <w:rPr>
                      <w:rFonts w:ascii="仿宋_GB2312" w:hAnsi="仿宋_GB2312" w:cs="仿宋_GB2312" w:eastAsia="仿宋_GB2312"/>
                      <w:sz w:val="24"/>
                      <w:color w:val="000000"/>
                    </w:rPr>
                    <w:t>12.角度分辨率：≤1度；</w:t>
                  </w:r>
                </w:p>
                <w:p>
                  <w:pPr>
                    <w:pStyle w:val="null3"/>
                    <w:jc w:val="both"/>
                  </w:pPr>
                  <w:r>
                    <w:rPr>
                      <w:rFonts w:ascii="仿宋_GB2312" w:hAnsi="仿宋_GB2312" w:cs="仿宋_GB2312" w:eastAsia="仿宋_GB2312"/>
                      <w:sz w:val="24"/>
                      <w:color w:val="000000"/>
                    </w:rPr>
                    <w:t>13.底盘大小：≧400mm*400mm*300mm；</w:t>
                  </w:r>
                </w:p>
                <w:p>
                  <w:pPr>
                    <w:pStyle w:val="null3"/>
                    <w:jc w:val="both"/>
                  </w:pPr>
                  <w:r>
                    <w:rPr>
                      <w:rFonts w:ascii="仿宋_GB2312" w:hAnsi="仿宋_GB2312" w:cs="仿宋_GB2312" w:eastAsia="仿宋_GB2312"/>
                      <w:sz w:val="24"/>
                      <w:color w:val="000000"/>
                    </w:rPr>
                    <w:t>14.底盘材料：≧7mm厚铝板；</w:t>
                  </w:r>
                </w:p>
                <w:p>
                  <w:pPr>
                    <w:pStyle w:val="null3"/>
                    <w:jc w:val="both"/>
                  </w:pPr>
                  <w:r>
                    <w:rPr>
                      <w:rFonts w:ascii="仿宋_GB2312" w:hAnsi="仿宋_GB2312" w:cs="仿宋_GB2312" w:eastAsia="仿宋_GB2312"/>
                      <w:sz w:val="24"/>
                      <w:color w:val="000000"/>
                    </w:rPr>
                    <w:t>15.电机：24V金属齿轮减速电机*4，额定扭矩≧5kg.cm；</w:t>
                  </w:r>
                </w:p>
                <w:p>
                  <w:pPr>
                    <w:pStyle w:val="null3"/>
                    <w:jc w:val="both"/>
                  </w:pPr>
                  <w:r>
                    <w:rPr>
                      <w:rFonts w:ascii="仿宋_GB2312" w:hAnsi="仿宋_GB2312" w:cs="仿宋_GB2312" w:eastAsia="仿宋_GB2312"/>
                      <w:sz w:val="24"/>
                      <w:color w:val="000000"/>
                    </w:rPr>
                    <w:t>16.编码器：带500线AB相高精度GMR编码器；</w:t>
                  </w:r>
                </w:p>
                <w:p>
                  <w:pPr>
                    <w:pStyle w:val="null3"/>
                    <w:jc w:val="both"/>
                  </w:pPr>
                  <w:r>
                    <w:rPr>
                      <w:rFonts w:ascii="仿宋_GB2312" w:hAnsi="仿宋_GB2312" w:cs="仿宋_GB2312" w:eastAsia="仿宋_GB2312"/>
                      <w:sz w:val="24"/>
                      <w:color w:val="000000"/>
                    </w:rPr>
                    <w:t>17.车轮：≥125mm橡胶轮*4；</w:t>
                  </w:r>
                </w:p>
                <w:p>
                  <w:pPr>
                    <w:pStyle w:val="null3"/>
                    <w:jc w:val="both"/>
                  </w:pPr>
                  <w:r>
                    <w:rPr>
                      <w:rFonts w:ascii="仿宋_GB2312" w:hAnsi="仿宋_GB2312" w:cs="仿宋_GB2312" w:eastAsia="仿宋_GB2312"/>
                      <w:sz w:val="24"/>
                      <w:color w:val="000000"/>
                    </w:rPr>
                    <w:t>18.电池：≥24V6000mAh，带过放、过充、短路、过压等多重保护</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19.主控制器：</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Cortex-M4内核微处理器；</w:t>
                  </w:r>
                </w:p>
                <w:p>
                  <w:pPr>
                    <w:pStyle w:val="null3"/>
                    <w:jc w:val="both"/>
                  </w:pPr>
                  <w:r>
                    <w:rPr>
                      <w:rFonts w:ascii="仿宋_GB2312" w:hAnsi="仿宋_GB2312" w:cs="仿宋_GB2312" w:eastAsia="仿宋_GB2312"/>
                      <w:sz w:val="24"/>
                      <w:color w:val="000000"/>
                    </w:rPr>
                    <w:t>20.无线模块接口：通用无线模块接口，支持WIFI、蓝牙等无线模块；</w:t>
                  </w:r>
                </w:p>
                <w:p>
                  <w:pPr>
                    <w:pStyle w:val="null3"/>
                    <w:jc w:val="both"/>
                  </w:pPr>
                  <w:r>
                    <w:rPr>
                      <w:rFonts w:ascii="仿宋_GB2312" w:hAnsi="仿宋_GB2312" w:cs="仿宋_GB2312" w:eastAsia="仿宋_GB2312"/>
                      <w:sz w:val="24"/>
                      <w:color w:val="000000"/>
                    </w:rPr>
                    <w:t>21.电机接口：板载4路电机驱动接口，带测速功能；</w:t>
                  </w:r>
                </w:p>
                <w:p>
                  <w:pPr>
                    <w:pStyle w:val="null3"/>
                    <w:jc w:val="both"/>
                  </w:pPr>
                  <w:r>
                    <w:rPr>
                      <w:rFonts w:ascii="仿宋_GB2312" w:hAnsi="仿宋_GB2312" w:cs="仿宋_GB2312" w:eastAsia="仿宋_GB2312"/>
                      <w:sz w:val="24"/>
                      <w:color w:val="000000"/>
                    </w:rPr>
                    <w:t>22.支持语音识别、背景移除、3D扫描、目标跟踪、面部处理等，实现基于ROS系统的SLAM导航和构图；</w:t>
                  </w:r>
                </w:p>
                <w:p>
                  <w:pPr>
                    <w:pStyle w:val="null3"/>
                    <w:jc w:val="both"/>
                  </w:pPr>
                  <w:r>
                    <w:rPr>
                      <w:rFonts w:ascii="仿宋_GB2312" w:hAnsi="仿宋_GB2312" w:cs="仿宋_GB2312" w:eastAsia="仿宋_GB2312"/>
                      <w:sz w:val="24"/>
                      <w:color w:val="000000"/>
                    </w:rPr>
                    <w:t>23.支持二次开发；</w:t>
                  </w:r>
                </w:p>
                <w:p>
                  <w:pPr>
                    <w:pStyle w:val="null3"/>
                    <w:jc w:val="both"/>
                  </w:pPr>
                  <w:r>
                    <w:rPr>
                      <w:rFonts w:ascii="仿宋_GB2312" w:hAnsi="仿宋_GB2312" w:cs="仿宋_GB2312" w:eastAsia="仿宋_GB2312"/>
                      <w:sz w:val="24"/>
                      <w:color w:val="000000"/>
                    </w:rPr>
                    <w:t>24.外壳为玻璃钢材质或铝板；</w:t>
                  </w:r>
                </w:p>
                <w:p>
                  <w:pPr>
                    <w:pStyle w:val="null3"/>
                    <w:jc w:val="both"/>
                  </w:pPr>
                  <w:r>
                    <w:rPr>
                      <w:rFonts w:ascii="仿宋_GB2312" w:hAnsi="仿宋_GB2312" w:cs="仿宋_GB2312" w:eastAsia="仿宋_GB2312"/>
                      <w:sz w:val="24"/>
                      <w:color w:val="000000"/>
                    </w:rPr>
                    <w:t>▲25.智能教学机器人系统开发服务</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1）建图模块：</w:t>
                  </w:r>
                </w:p>
                <w:p>
                  <w:pPr>
                    <w:pStyle w:val="null3"/>
                    <w:jc w:val="both"/>
                  </w:pPr>
                  <w:r>
                    <w:rPr>
                      <w:rFonts w:ascii="仿宋_GB2312" w:hAnsi="仿宋_GB2312" w:cs="仿宋_GB2312" w:eastAsia="仿宋_GB2312"/>
                      <w:sz w:val="24"/>
                      <w:color w:val="000000"/>
                    </w:rPr>
                    <w:t>建图功能：支持室内外建图功能，实现室内外半结构化场景，创建</w:t>
                  </w:r>
                  <w:r>
                    <w:rPr>
                      <w:rFonts w:ascii="仿宋_GB2312" w:hAnsi="仿宋_GB2312" w:cs="仿宋_GB2312" w:eastAsia="仿宋_GB2312"/>
                      <w:sz w:val="24"/>
                      <w:color w:val="000000"/>
                    </w:rPr>
                    <w:t>3D点云图。</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2）地图编辑模块：</w:t>
                  </w:r>
                </w:p>
                <w:p>
                  <w:pPr>
                    <w:pStyle w:val="null3"/>
                    <w:jc w:val="both"/>
                  </w:pPr>
                  <w:r>
                    <w:rPr>
                      <w:rFonts w:ascii="仿宋_GB2312" w:hAnsi="仿宋_GB2312" w:cs="仿宋_GB2312" w:eastAsia="仿宋_GB2312"/>
                      <w:sz w:val="24"/>
                      <w:color w:val="000000"/>
                    </w:rPr>
                    <w:t>擦除障碍物功能：擦除地图上通行区域的障碍物，在修图软件上擦除地图上的临时障碍物。</w:t>
                  </w:r>
                </w:p>
                <w:p>
                  <w:pPr>
                    <w:pStyle w:val="null3"/>
                    <w:jc w:val="both"/>
                  </w:pPr>
                  <w:r>
                    <w:rPr>
                      <w:rFonts w:ascii="仿宋_GB2312" w:hAnsi="仿宋_GB2312" w:cs="仿宋_GB2312" w:eastAsia="仿宋_GB2312"/>
                      <w:sz w:val="24"/>
                      <w:color w:val="000000"/>
                    </w:rPr>
                    <w:t>绘制虚拟墙功能：绘制虚拟墙，阻隔机器人进入虚拟墙区域。</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3）循迹模块</w:t>
                  </w:r>
                </w:p>
                <w:p>
                  <w:pPr>
                    <w:pStyle w:val="null3"/>
                    <w:jc w:val="both"/>
                  </w:pPr>
                  <w:r>
                    <w:rPr>
                      <w:rFonts w:ascii="仿宋_GB2312" w:hAnsi="仿宋_GB2312" w:cs="仿宋_GB2312" w:eastAsia="仿宋_GB2312"/>
                      <w:sz w:val="24"/>
                      <w:color w:val="000000"/>
                    </w:rPr>
                    <w:t>录制路径功能：新建录制路径，录制路径</w:t>
                  </w:r>
                  <w:r>
                    <w:rPr>
                      <w:rFonts w:ascii="仿宋_GB2312" w:hAnsi="仿宋_GB2312" w:cs="仿宋_GB2312" w:eastAsia="仿宋_GB2312"/>
                      <w:sz w:val="24"/>
                      <w:color w:val="000000"/>
                    </w:rPr>
                    <w:t>-通过控制机器人行走得到的路径。</w:t>
                  </w:r>
                </w:p>
                <w:p>
                  <w:pPr>
                    <w:pStyle w:val="null3"/>
                    <w:jc w:val="both"/>
                  </w:pPr>
                  <w:r>
                    <w:rPr>
                      <w:rFonts w:ascii="仿宋_GB2312" w:hAnsi="仿宋_GB2312" w:cs="仿宋_GB2312" w:eastAsia="仿宋_GB2312"/>
                      <w:sz w:val="24"/>
                      <w:color w:val="000000"/>
                    </w:rPr>
                    <w:t>编辑路径功能：支持原有路径进行直接编辑并保存。</w:t>
                  </w:r>
                </w:p>
                <w:p>
                  <w:pPr>
                    <w:pStyle w:val="null3"/>
                    <w:jc w:val="both"/>
                  </w:pPr>
                  <w:r>
                    <w:rPr>
                      <w:rFonts w:ascii="仿宋_GB2312" w:hAnsi="仿宋_GB2312" w:cs="仿宋_GB2312" w:eastAsia="仿宋_GB2312"/>
                      <w:sz w:val="24"/>
                      <w:color w:val="000000"/>
                    </w:rPr>
                    <w:t>绘制路径功能：支持直接以绘制方式进行路径的生成，支持直线、圆弧路径绘制。</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4）发布点模块</w:t>
                  </w:r>
                </w:p>
                <w:p>
                  <w:pPr>
                    <w:pStyle w:val="null3"/>
                    <w:jc w:val="both"/>
                  </w:pPr>
                  <w:r>
                    <w:rPr>
                      <w:rFonts w:ascii="仿宋_GB2312" w:hAnsi="仿宋_GB2312" w:cs="仿宋_GB2312" w:eastAsia="仿宋_GB2312"/>
                      <w:sz w:val="24"/>
                      <w:color w:val="000000"/>
                    </w:rPr>
                    <w:t>发布点功能：记录需要前往的目标点，有机器人自主规划路径。</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5）定位模块</w:t>
                  </w:r>
                </w:p>
                <w:p>
                  <w:pPr>
                    <w:pStyle w:val="null3"/>
                    <w:jc w:val="both"/>
                  </w:pPr>
                  <w:r>
                    <w:rPr>
                      <w:rFonts w:ascii="仿宋_GB2312" w:hAnsi="仿宋_GB2312" w:cs="仿宋_GB2312" w:eastAsia="仿宋_GB2312"/>
                      <w:sz w:val="24"/>
                      <w:color w:val="000000"/>
                    </w:rPr>
                    <w:t>任务点定位功能：机器人通过传感器实现定位，室内重复定位精度</w:t>
                  </w:r>
                  <w:r>
                    <w:rPr>
                      <w:rFonts w:ascii="仿宋_GB2312" w:hAnsi="仿宋_GB2312" w:cs="仿宋_GB2312" w:eastAsia="仿宋_GB2312"/>
                      <w:sz w:val="24"/>
                      <w:color w:val="000000"/>
                    </w:rPr>
                    <w:t>±2cm，室外重复定位精度±5cm，导航位置精度±10cm，转角精度±5°。</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6）避障模块</w:t>
                  </w:r>
                </w:p>
                <w:p>
                  <w:pPr>
                    <w:pStyle w:val="null3"/>
                    <w:jc w:val="both"/>
                  </w:pPr>
                  <w:r>
                    <w:rPr>
                      <w:rFonts w:ascii="仿宋_GB2312" w:hAnsi="仿宋_GB2312" w:cs="仿宋_GB2312" w:eastAsia="仿宋_GB2312"/>
                      <w:sz w:val="24"/>
                      <w:color w:val="000000"/>
                    </w:rPr>
                    <w:t>避障功能：支持绕障、停障、无停障模式</w:t>
                  </w:r>
                  <w:r>
                    <w:rPr>
                      <w:rFonts w:ascii="仿宋_GB2312" w:hAnsi="仿宋_GB2312" w:cs="仿宋_GB2312" w:eastAsia="仿宋_GB2312"/>
                      <w:sz w:val="24"/>
                      <w:color w:val="000000"/>
                    </w:rPr>
                    <w:t>(注障碍物不可以在任务点2m范围内)。</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7）导航模块</w:t>
                  </w:r>
                </w:p>
                <w:p>
                  <w:pPr>
                    <w:pStyle w:val="null3"/>
                    <w:jc w:val="both"/>
                  </w:pPr>
                  <w:r>
                    <w:rPr>
                      <w:rFonts w:ascii="仿宋_GB2312" w:hAnsi="仿宋_GB2312" w:cs="仿宋_GB2312" w:eastAsia="仿宋_GB2312"/>
                      <w:sz w:val="24"/>
                      <w:color w:val="000000"/>
                    </w:rPr>
                    <w:t>导航模式：支持循迹模式、发布点模式、组合组合模式作业，其中组合模式支持将循迹模式与发布点模式组合应用。</w:t>
                  </w:r>
                </w:p>
                <w:p>
                  <w:pPr>
                    <w:pStyle w:val="null3"/>
                    <w:jc w:val="both"/>
                  </w:pPr>
                  <w:r>
                    <w:rPr>
                      <w:rFonts w:ascii="仿宋_GB2312" w:hAnsi="仿宋_GB2312" w:cs="仿宋_GB2312" w:eastAsia="仿宋_GB2312"/>
                      <w:sz w:val="24"/>
                      <w:color w:val="000000"/>
                    </w:rPr>
                    <w:t>导航设置：支持在作业过程中设定不同的避障模式、速度大小。</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8）具备二次开发接口</w:t>
                  </w:r>
                </w:p>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Mqtt形式的二次开发接口。</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bl>
          <w:p/>
        </w:tc>
      </w:tr>
    </w:tbl>
    <w:p>
      <w:pPr>
        <w:pStyle w:val="null3"/>
      </w:pPr>
      <w:r>
        <w:rPr>
          <w:rFonts w:ascii="仿宋_GB2312" w:hAnsi="仿宋_GB2312" w:cs="仿宋_GB2312" w:eastAsia="仿宋_GB2312"/>
        </w:rPr>
        <w:t>标的名称：数智化产教融合实践中心建设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（三）</w:t>
            </w:r>
          </w:p>
          <w:tbl>
            <w:tblPr>
              <w:tblInd w:type="dxa" w:w="135"/>
              <w:tblBorders>
                <w:top w:val="none" w:color="000000" w:sz="4"/>
                <w:left w:val="none" w:color="000000" w:sz="4"/>
                <w:bottom w:val="none" w:color="000000" w:sz="4"/>
                <w:right w:val="none" w:color="000000" w:sz="4"/>
                <w:insideH w:val="none"/>
                <w:insideV w:val="none"/>
              </w:tblBorders>
            </w:tblPr>
            <w:tblGrid>
              <w:gridCol w:w="158"/>
              <w:gridCol w:w="447"/>
              <w:gridCol w:w="1484"/>
              <w:gridCol w:w="239"/>
              <w:gridCol w:w="226"/>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1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智能巡检机器人综合开发平台</w:t>
                  </w:r>
                </w:p>
                <w:p>
                  <w:pPr>
                    <w:pStyle w:val="null3"/>
                    <w:jc w:val="both"/>
                  </w:pPr>
                  <w:r>
                    <w:rPr>
                      <w:rFonts w:ascii="仿宋_GB2312" w:hAnsi="仿宋_GB2312" w:cs="仿宋_GB2312" w:eastAsia="仿宋_GB2312"/>
                      <w:sz w:val="24"/>
                      <w:color w:val="000000"/>
                    </w:rPr>
                    <w:t>【核心产品】</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1.智能巡检机器人系统开发服务</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1）任务管理：灵活创建、调度多种巡检任务，支持地图选点与任务状态监控；</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2）实时监控：动态追踪机器人位置与巡检画面，提供多模式遥控及操作功能；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3）结果处理：自动识别设备告警与异常，支持人工审核结果并生成巡检报告。</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4）数据分析：对巡检数据横向对比（多点位）与纵向分析（历史趋势），输出报表。</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5）配置管理：自定义告警阈值、用户权限、检修区域及标准巡检点位库。</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6）系统维护：维护地图与机器人参数，监控设备状态。</w:t>
                  </w:r>
                </w:p>
                <w:p>
                  <w:pPr>
                    <w:pStyle w:val="null3"/>
                    <w:jc w:val="both"/>
                  </w:pPr>
                  <w:r>
                    <w:rPr>
                      <w:rFonts w:ascii="仿宋_GB2312" w:hAnsi="仿宋_GB2312" w:cs="仿宋_GB2312" w:eastAsia="仿宋_GB2312"/>
                      <w:sz w:val="24"/>
                      <w:color w:val="000000"/>
                    </w:rPr>
                    <w:t>▲2.具备可见光识别功能，可见光检测应具备如下功能：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1）室内轮式机器人系统应配备可见光摄像机，能对指示灯、开关分合状态及仪表指示等进行采集并将视频实时上传至本地</w:t>
                  </w:r>
                  <w:r>
                    <w:rPr>
                      <w:rFonts w:ascii="仿宋_GB2312" w:hAnsi="仿宋_GB2312" w:cs="仿宋_GB2312" w:eastAsia="仿宋_GB2312"/>
                      <w:sz w:val="24"/>
                      <w:color w:val="000000"/>
                    </w:rPr>
                    <w:t>存储</w:t>
                  </w:r>
                  <w:r>
                    <w:rPr>
                      <w:rFonts w:ascii="仿宋_GB2312" w:hAnsi="仿宋_GB2312" w:cs="仿宋_GB2312" w:eastAsia="仿宋_GB2312"/>
                      <w:sz w:val="24"/>
                      <w:color w:val="000000"/>
                    </w:rPr>
                    <w:t>。上传视频分辨率至少达到高清规范（</w:t>
                  </w:r>
                  <w:r>
                    <w:rPr>
                      <w:rFonts w:ascii="仿宋_GB2312" w:hAnsi="仿宋_GB2312" w:cs="仿宋_GB2312" w:eastAsia="仿宋_GB2312"/>
                      <w:sz w:val="24"/>
                      <w:color w:val="000000"/>
                    </w:rPr>
                    <w:t>1080P）。</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2）支持视频的播放、全屏显示等功能。</w:t>
                  </w:r>
                </w:p>
                <w:p>
                  <w:pPr>
                    <w:pStyle w:val="null3"/>
                    <w:jc w:val="both"/>
                  </w:pPr>
                  <w:r>
                    <w:rPr>
                      <w:rFonts w:ascii="仿宋_GB2312" w:hAnsi="仿宋_GB2312" w:cs="仿宋_GB2312" w:eastAsia="仿宋_GB2312"/>
                      <w:sz w:val="24"/>
                      <w:color w:val="000000"/>
                    </w:rPr>
                    <w:t>最小光学变倍</w:t>
                  </w:r>
                  <w:r>
                    <w:rPr>
                      <w:rFonts w:ascii="仿宋_GB2312" w:hAnsi="仿宋_GB2312" w:cs="仿宋_GB2312" w:eastAsia="仿宋_GB2312"/>
                      <w:sz w:val="24"/>
                      <w:color w:val="000000"/>
                    </w:rPr>
                    <w:t>30倍，可清晰识别表计刻度。</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3）应具备遥控手动或自动对焦功能。</w:t>
                  </w:r>
                </w:p>
                <w:p>
                  <w:pPr>
                    <w:pStyle w:val="null3"/>
                    <w:jc w:val="both"/>
                  </w:pPr>
                  <w:r>
                    <w:rPr>
                      <w:rFonts w:ascii="仿宋_GB2312" w:hAnsi="仿宋_GB2312" w:cs="仿宋_GB2312" w:eastAsia="仿宋_GB2312"/>
                      <w:sz w:val="24"/>
                      <w:color w:val="000000"/>
                    </w:rPr>
                    <w:t>▲3.具备红外检测功能，红外检测应具备如下功能：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1）室内轮式机器人系统系统应配备在线式红外热成像仪，能对室内的设备的温度进行采集，并能将红外视频及温度数据实时传输至本地</w:t>
                  </w:r>
                  <w:r>
                    <w:rPr>
                      <w:rFonts w:ascii="仿宋_GB2312" w:hAnsi="仿宋_GB2312" w:cs="仿宋_GB2312" w:eastAsia="仿宋_GB2312"/>
                      <w:sz w:val="24"/>
                      <w:color w:val="000000"/>
                    </w:rPr>
                    <w:t>存储</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2）红外检测设备成像分辨率不低于640*480，测温精度不低于±2℃或2%。</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3）红外热成像仪测温范围：-20℃～300℃。</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4）热图数据应能在本地监控后台及远程集控后台存储。</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5）红外影像应能实时显示影像中温度最高点位置。</w:t>
                  </w:r>
                </w:p>
                <w:p>
                  <w:pPr>
                    <w:pStyle w:val="null3"/>
                    <w:jc w:val="both"/>
                  </w:pPr>
                  <w:r>
                    <w:rPr>
                      <w:rFonts w:ascii="仿宋_GB2312" w:hAnsi="仿宋_GB2312" w:cs="仿宋_GB2312" w:eastAsia="仿宋_GB2312"/>
                      <w:sz w:val="24"/>
                      <w:color w:val="000000"/>
                    </w:rPr>
                    <w:t>4.具备局放检测功能，局放检测室内轮式机器人系统应搭载特高频（UHF）传感器，能对设备进行局放监测。</w:t>
                  </w:r>
                </w:p>
                <w:p>
                  <w:pPr>
                    <w:pStyle w:val="null3"/>
                    <w:jc w:val="both"/>
                  </w:pPr>
                  <w:r>
                    <w:rPr>
                      <w:rFonts w:ascii="仿宋_GB2312" w:hAnsi="仿宋_GB2312" w:cs="仿宋_GB2312" w:eastAsia="仿宋_GB2312"/>
                      <w:sz w:val="24"/>
                      <w:color w:val="000000"/>
                    </w:rPr>
                    <w:t>5.具备环境检测功能，可通过室内轮式机器人本体内搭载的实时环境检测传感器对室内的环境温湿度进行检测。</w:t>
                  </w:r>
                </w:p>
                <w:p>
                  <w:pPr>
                    <w:pStyle w:val="null3"/>
                    <w:jc w:val="both"/>
                  </w:pPr>
                  <w:r>
                    <w:rPr>
                      <w:rFonts w:ascii="仿宋_GB2312" w:hAnsi="仿宋_GB2312" w:cs="仿宋_GB2312" w:eastAsia="仿宋_GB2312"/>
                      <w:sz w:val="24"/>
                      <w:color w:val="000000"/>
                    </w:rPr>
                    <w:t>▲6.具备自主作业能力，前后具备安全避障超声波雷达、可通过激光传感器实现自主定位导航、可脱机工作、自主充电及自主巡视。</w:t>
                  </w:r>
                </w:p>
                <w:p>
                  <w:pPr>
                    <w:pStyle w:val="null3"/>
                    <w:jc w:val="both"/>
                  </w:pPr>
                  <w:r>
                    <w:rPr>
                      <w:rFonts w:ascii="仿宋_GB2312" w:hAnsi="仿宋_GB2312" w:cs="仿宋_GB2312" w:eastAsia="仿宋_GB2312"/>
                      <w:sz w:val="24"/>
                      <w:color w:val="000000"/>
                    </w:rPr>
                    <w:t>7.支持远程机器人遥控、实时画面查看功能。</w:t>
                  </w:r>
                </w:p>
                <w:p>
                  <w:pPr>
                    <w:pStyle w:val="null3"/>
                    <w:jc w:val="both"/>
                  </w:pPr>
                  <w:r>
                    <w:rPr>
                      <w:rFonts w:ascii="仿宋_GB2312" w:hAnsi="仿宋_GB2312" w:cs="仿宋_GB2312" w:eastAsia="仿宋_GB2312"/>
                      <w:sz w:val="24"/>
                      <w:color w:val="000000"/>
                    </w:rPr>
                    <w:t>8.越障高度不小于60mm，爬坡能力不小于15°。</w:t>
                  </w:r>
                </w:p>
                <w:p>
                  <w:pPr>
                    <w:pStyle w:val="null3"/>
                    <w:jc w:val="both"/>
                  </w:pPr>
                  <w:r>
                    <w:rPr>
                      <w:rFonts w:ascii="仿宋_GB2312" w:hAnsi="仿宋_GB2312" w:cs="仿宋_GB2312" w:eastAsia="仿宋_GB2312"/>
                      <w:sz w:val="24"/>
                      <w:color w:val="000000"/>
                    </w:rPr>
                    <w:t>9.续航时间大于5h。</w:t>
                  </w:r>
                </w:p>
                <w:p>
                  <w:pPr>
                    <w:pStyle w:val="null3"/>
                    <w:jc w:val="both"/>
                  </w:pPr>
                  <w:r>
                    <w:rPr>
                      <w:rFonts w:ascii="仿宋_GB2312" w:hAnsi="仿宋_GB2312" w:cs="仿宋_GB2312" w:eastAsia="仿宋_GB2312"/>
                      <w:sz w:val="24"/>
                      <w:color w:val="000000"/>
                    </w:rPr>
                    <w:t>10.激光无轨导航，重复导航定位误差不大于±20mm。</w:t>
                  </w:r>
                </w:p>
                <w:p>
                  <w:pPr>
                    <w:pStyle w:val="null3"/>
                    <w:jc w:val="both"/>
                  </w:pPr>
                  <w:r>
                    <w:rPr>
                      <w:rFonts w:ascii="仿宋_GB2312" w:hAnsi="仿宋_GB2312" w:cs="仿宋_GB2312" w:eastAsia="仿宋_GB2312"/>
                      <w:sz w:val="24"/>
                      <w:color w:val="000000"/>
                    </w:rPr>
                    <w:t>11.最大运行速度不低于1.0m/s。</w:t>
                  </w:r>
                </w:p>
                <w:p>
                  <w:pPr>
                    <w:pStyle w:val="null3"/>
                    <w:jc w:val="both"/>
                  </w:pPr>
                  <w:r>
                    <w:rPr>
                      <w:rFonts w:ascii="仿宋_GB2312" w:hAnsi="仿宋_GB2312" w:cs="仿宋_GB2312" w:eastAsia="仿宋_GB2312"/>
                      <w:sz w:val="24"/>
                      <w:color w:val="000000"/>
                    </w:rPr>
                    <w:t>12.运动底盘可实现原地360度旋转。</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.在1m/s的运动速度下，制动距离不大于0.3m。</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.要求机器人采用直流电源供电。直流电源采用24V锂电池，电压满足安全电压要求并能适应下列条件：</w:t>
                  </w:r>
                </w:p>
                <w:p>
                  <w:pPr>
                    <w:pStyle w:val="null3"/>
                    <w:jc w:val="both"/>
                  </w:pPr>
                  <w:r>
                    <w:rPr>
                      <w:rFonts w:ascii="仿宋_GB2312" w:hAnsi="仿宋_GB2312" w:cs="仿宋_GB2312" w:eastAsia="仿宋_GB2312"/>
                      <w:sz w:val="24"/>
                      <w:color w:val="000000"/>
                    </w:rPr>
                    <w:t>1）允许纹波系数：5%。</w:t>
                  </w:r>
                </w:p>
                <w:p>
                  <w:pPr>
                    <w:pStyle w:val="null3"/>
                    <w:jc w:val="both"/>
                  </w:pPr>
                  <w:r>
                    <w:rPr>
                      <w:rFonts w:ascii="仿宋_GB2312" w:hAnsi="仿宋_GB2312" w:cs="仿宋_GB2312" w:eastAsia="仿宋_GB2312"/>
                      <w:sz w:val="24"/>
                      <w:color w:val="000000"/>
                    </w:rPr>
                    <w:t>2）交流电源额定电压为220V，允许幅值偏差：-10%～10%。</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.工作适应温度：-5℃~50℃。</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.环境适应满足湿度：5%～95%（无冷凝水）。</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bl>
          <w:p>
            <w:pPr>
              <w:pStyle w:val="null3"/>
              <w:jc w:val="both"/>
            </w:pPr>
            <w:r>
              <w:rPr>
                <w:rFonts w:ascii="仿宋_GB2312" w:hAnsi="仿宋_GB2312" w:cs="仿宋_GB2312" w:eastAsia="仿宋_GB2312"/>
                <w:sz w:val="24"/>
                <w:b/>
              </w:rPr>
              <w:t>备注：</w:t>
            </w:r>
            <w:r>
              <w:rPr>
                <w:rFonts w:ascii="仿宋_GB2312" w:hAnsi="仿宋_GB2312" w:cs="仿宋_GB2312" w:eastAsia="仿宋_GB2312"/>
                <w:sz w:val="24"/>
                <w:b/>
              </w:rPr>
              <w:t>1、</w:t>
            </w:r>
            <w:r>
              <w:rPr>
                <w:rFonts w:ascii="仿宋_GB2312" w:hAnsi="仿宋_GB2312" w:cs="仿宋_GB2312" w:eastAsia="仿宋_GB2312"/>
                <w:sz w:val="24"/>
                <w:b/>
              </w:rPr>
              <w:t>本项目采购的产品如有属于节能产品政府采购品目清单中应强制采购的产品范围，供应商应当提供国家确定的认证机构出具的、处于有效期之内的节能产品认证证书</w:t>
            </w:r>
            <w:r>
              <w:rPr>
                <w:rFonts w:ascii="仿宋_GB2312" w:hAnsi="仿宋_GB2312" w:cs="仿宋_GB2312" w:eastAsia="仿宋_GB2312"/>
                <w:sz w:val="24"/>
                <w:b/>
              </w:rPr>
              <w:t>（节能产品政府采购品目清单见附件）</w:t>
            </w:r>
            <w:r>
              <w:rPr>
                <w:rFonts w:ascii="仿宋_GB2312" w:hAnsi="仿宋_GB2312" w:cs="仿宋_GB2312" w:eastAsia="仿宋_GB2312"/>
                <w:sz w:val="24"/>
                <w:b/>
              </w:rPr>
              <w:t>，</w:t>
            </w:r>
            <w:r>
              <w:rPr>
                <w:rFonts w:ascii="仿宋_GB2312" w:hAnsi="仿宋_GB2312" w:cs="仿宋_GB2312" w:eastAsia="仿宋_GB2312"/>
                <w:sz w:val="24"/>
                <w:b/>
              </w:rPr>
              <w:t>否则作无效投标处理。</w:t>
            </w:r>
            <w:r>
              <w:rPr>
                <w:rFonts w:ascii="仿宋_GB2312" w:hAnsi="仿宋_GB2312" w:cs="仿宋_GB2312" w:eastAsia="仿宋_GB2312"/>
                <w:sz w:val="24"/>
                <w:b/>
              </w:rPr>
              <w:t>；</w:t>
            </w:r>
          </w:p>
          <w:p>
            <w:pPr>
              <w:pStyle w:val="null3"/>
            </w:pPr>
            <w:r>
              <w:rPr>
                <w:rFonts w:ascii="仿宋_GB2312" w:hAnsi="仿宋_GB2312" w:cs="仿宋_GB2312" w:eastAsia="仿宋_GB2312"/>
                <w:sz w:val="24"/>
                <w:b/>
              </w:rPr>
              <w:t>2、</w:t>
            </w:r>
            <w:r>
              <w:rPr>
                <w:rFonts w:ascii="仿宋_GB2312" w:hAnsi="仿宋_GB2312" w:cs="仿宋_GB2312" w:eastAsia="仿宋_GB2312"/>
                <w:sz w:val="24"/>
                <w:b/>
              </w:rPr>
              <w:t>本项目采购的</w:t>
            </w:r>
            <w:r>
              <w:rPr>
                <w:rFonts w:ascii="仿宋_GB2312" w:hAnsi="仿宋_GB2312" w:cs="仿宋_GB2312" w:eastAsia="仿宋_GB2312"/>
                <w:sz w:val="24"/>
                <w:b/>
              </w:rPr>
              <w:t>产品</w:t>
            </w:r>
            <w:r>
              <w:rPr>
                <w:rFonts w:ascii="仿宋_GB2312" w:hAnsi="仿宋_GB2312" w:cs="仿宋_GB2312" w:eastAsia="仿宋_GB2312"/>
                <w:sz w:val="24"/>
                <w:b/>
              </w:rPr>
              <w:t>如有属于</w:t>
            </w:r>
            <w:r>
              <w:rPr>
                <w:rFonts w:ascii="仿宋_GB2312" w:hAnsi="仿宋_GB2312" w:cs="仿宋_GB2312" w:eastAsia="仿宋_GB2312"/>
                <w:sz w:val="24"/>
                <w:b/>
              </w:rPr>
              <w:t>强制性产品认证目录</w:t>
            </w:r>
            <w:r>
              <w:rPr>
                <w:rFonts w:ascii="仿宋_GB2312" w:hAnsi="仿宋_GB2312" w:cs="仿宋_GB2312" w:eastAsia="仿宋_GB2312"/>
                <w:sz w:val="24"/>
                <w:b/>
              </w:rPr>
              <w:t>中的产品</w:t>
            </w:r>
            <w:r>
              <w:rPr>
                <w:rFonts w:ascii="仿宋_GB2312" w:hAnsi="仿宋_GB2312" w:cs="仿宋_GB2312" w:eastAsia="仿宋_GB2312"/>
                <w:sz w:val="24"/>
                <w:b/>
              </w:rPr>
              <w:t>，供应商应提供</w:t>
            </w:r>
            <w:r>
              <w:rPr>
                <w:rFonts w:ascii="仿宋_GB2312" w:hAnsi="仿宋_GB2312" w:cs="仿宋_GB2312" w:eastAsia="仿宋_GB2312"/>
                <w:sz w:val="24"/>
                <w:b/>
              </w:rPr>
              <w:t>有效的</w:t>
            </w:r>
            <w:r>
              <w:rPr>
                <w:rFonts w:ascii="仿宋_GB2312" w:hAnsi="仿宋_GB2312" w:cs="仿宋_GB2312" w:eastAsia="仿宋_GB2312"/>
                <w:sz w:val="24"/>
                <w:b/>
              </w:rPr>
              <w:t>3C认证证书</w:t>
            </w:r>
            <w:r>
              <w:rPr>
                <w:rFonts w:ascii="仿宋_GB2312" w:hAnsi="仿宋_GB2312" w:cs="仿宋_GB2312" w:eastAsia="仿宋_GB2312"/>
                <w:sz w:val="24"/>
                <w:b/>
              </w:rPr>
              <w:t>；</w:t>
            </w:r>
            <w:r>
              <w:rPr>
                <w:rFonts w:ascii="仿宋_GB2312" w:hAnsi="仿宋_GB2312" w:cs="仿宋_GB2312" w:eastAsia="仿宋_GB2312"/>
                <w:sz w:val="24"/>
                <w:b/>
              </w:rPr>
              <w:t>否则作无效投标处理。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b/>
              </w:rPr>
              <w:t>二、</w:t>
            </w:r>
            <w:r>
              <w:rPr>
                <w:rFonts w:ascii="仿宋_GB2312" w:hAnsi="仿宋_GB2312" w:cs="仿宋_GB2312" w:eastAsia="仿宋_GB2312"/>
                <w:sz w:val="24"/>
                <w:b/>
              </w:rPr>
              <w:t>售后服务</w:t>
            </w:r>
          </w:p>
          <w:p>
            <w:pPr>
              <w:pStyle w:val="null3"/>
            </w:pPr>
            <w:r>
              <w:rPr>
                <w:rFonts w:ascii="仿宋_GB2312" w:hAnsi="仿宋_GB2312" w:cs="仿宋_GB2312" w:eastAsia="仿宋_GB2312"/>
                <w:sz w:val="24"/>
              </w:rPr>
              <w:t>提供</w:t>
            </w:r>
            <w:r>
              <w:rPr>
                <w:rFonts w:ascii="仿宋_GB2312" w:hAnsi="仿宋_GB2312" w:cs="仿宋_GB2312" w:eastAsia="仿宋_GB2312"/>
                <w:sz w:val="24"/>
              </w:rPr>
              <w:t>7x24小时上门服务</w:t>
            </w:r>
            <w:r>
              <w:rPr>
                <w:rFonts w:ascii="仿宋_GB2312" w:hAnsi="仿宋_GB2312" w:cs="仿宋_GB2312" w:eastAsia="仿宋_GB2312"/>
                <w:sz w:val="24"/>
              </w:rPr>
              <w:t>及在线技术支持</w:t>
            </w:r>
            <w:r>
              <w:rPr>
                <w:rFonts w:ascii="仿宋_GB2312" w:hAnsi="仿宋_GB2312" w:cs="仿宋_GB2312" w:eastAsia="仿宋_GB2312"/>
                <w:sz w:val="24"/>
              </w:rPr>
              <w:t>。</w:t>
            </w:r>
            <w:r>
              <w:rPr>
                <w:rFonts w:ascii="仿宋_GB2312" w:hAnsi="仿宋_GB2312" w:cs="仿宋_GB2312" w:eastAsia="仿宋_GB2312"/>
                <w:sz w:val="24"/>
              </w:rPr>
              <w:t>投标人承诺如若中标提供原厂售后服务</w:t>
            </w:r>
            <w:r>
              <w:rPr>
                <w:rFonts w:ascii="仿宋_GB2312" w:hAnsi="仿宋_GB2312" w:cs="仿宋_GB2312" w:eastAsia="仿宋_GB2312"/>
                <w:sz w:val="24"/>
              </w:rPr>
              <w:t>。质保期自采购人最终书面验收合格之日起算，质保期内非因采购人原因而出现质量问题的，由供应商负责修理、承担因修理产生的所有费用。供应商应自收到采购人通知之时起</w:t>
            </w:r>
            <w:r>
              <w:rPr>
                <w:rFonts w:ascii="仿宋_GB2312" w:hAnsi="仿宋_GB2312" w:cs="仿宋_GB2312" w:eastAsia="仿宋_GB2312"/>
                <w:sz w:val="24"/>
              </w:rPr>
              <w:t>48 小时内修理完毕，保证采购人正常使用。如供应商违反上述约定，采购人有权找第三方进行维修，产生的费用由供应商承担。同一质量问题，供应商连续修理两次，采购人有权要求供应商更换新产品或退货，退货金额为采购人已向供应商支付的全部货款及费用。供应商同时承担因退换货物产生的所有费用。超过质保期的维修服务，按照供应商承诺进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项目完工期：自合同签订之日起，32个自然日内完成3间实训室改造，完成所有设备的到货、安装、调试及初步验收。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合同全部内容并经采购人验收合格后，在采购人付款前提供全额增值税专用发票。在供应商提供后，方可办理付款手续（税票办理具体问题与学校财务部门咨询或协商）。若供应商不能按学校财务部门要求出具发票, 采购人有权不予付款，由此造成的一切损失由供应商自行承担。如因发票问题使得采购人蒙受损失（包括罚款、处理费用、声誉影响等）的，供应商应当承担全部责任，并赔偿损失</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验收由采购人负责组织或者邀请有关专家、质检机构、采购代理机构共同进行验收,验收须以合同、招标文件、澄清、及国家相应的标准、规范等为依据。 ①到货验收：设备型号、数量、配置与合同一致，外观无损坏，资料齐全。 ②技术验收：所有技术指标符合本要求书规定，性能测试稳定。 ③培训验收：完成合同规定的所有培训内容。 ④文档验收：交付完整的技术文档，包括但不限于：产品合格证、保修证书、安装报告、培训手册等。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质保期：机器人整机质保一年，核心部件电机以及核心开发板等硬件质保三年。其他硬件设备整机质保至少一年，硬盘、主板等核心部件提供质保至少两年。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1、投标人需要在线提交所有通过电子化交易平台实施的政府采购项目的投标文件，同时，线下提交纸质投标文件正本壹份、副本贰份、电子版壹份（U盘壹份）。 2、纸质投标文件正本、副本、电子版，标明投标人名称分开密封递交（投标文件采用双面打印）。 3、线下纸质投标文件递交截止时间：同在线递交电子投标文件截止时间一致；线下纸质投标文件递交地点：西安市雁展路1111号莱安中心T6-15层。如需邮寄投标文件，仅接受顺丰速运（联系人：汪涛、联系电话：029-81206622-821）。 4、保证金的退还：自中标通知书发出之日起5个工作日内退还未中标人的投标保证金,自采购合同签订之日起5个工作日内退还中标人的投标保证金。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报价表、分项报价表.docx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节能产品政府采购品目清单.docx 环境标志产品政府采购品目清单.docx 投标方案说明.docx 中小企业声明函 报价表、分项报价表.docx 商务条款响应说明.docx 技术指标偏差表.docx 投标函 残疾人福利性单位声明函 标的清单 保证金缴纳凭证.docx 投标文件封面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投标人资格条件证明文件.docx 节能产品政府采购品目清单.docx 环境标志产品政府采购品目清单.docx 投标方案说明.docx 中小企业声明函 报价表、分项报价表.docx 商务条款响应说明.docx 技术指标偏差表.docx 投标函 残疾人福利性单位声明函 标的清单 保证金缴纳凭证.docx 投标文件封面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保证金缴纳</w:t>
            </w:r>
          </w:p>
        </w:tc>
        <w:tc>
          <w:tcPr>
            <w:tcW w:type="dxa" w:w="3322"/>
          </w:tcPr>
          <w:p>
            <w:pPr>
              <w:pStyle w:val="null3"/>
            </w:pPr>
            <w:r>
              <w:rPr>
                <w:rFonts w:ascii="仿宋_GB2312" w:hAnsi="仿宋_GB2312" w:cs="仿宋_GB2312" w:eastAsia="仿宋_GB2312"/>
              </w:rPr>
              <w:t>保证金缴纳符合招标文件要求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节能产品政府采购品目清单.docx 环境标志产品政府采购品目清单.docx 投标方案说明.docx 中小企业声明函 报价表、分项报价表.docx 商务条款响应说明.docx 技术指标偏差表.docx 投标函 残疾人福利性单位声明函 标的清单 保证金缴纳凭证.docx 投标文件封面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根据投标人对所投产品技术参数的响应情况进行评审：完全符合、响应招标文件要求，没有负偏离计25分；“▲”号参数为重要技术指标，每负偏离一项扣1分，非“▲”号参数每负偏离一项扣0.2分。扣完为止。 备注：“▲”参数需提供相应的佐证材料（包括但不限于产品彩页、说明书、测试报告、官网和功能截图等）予以证明技术的响应性，否则视为负偏离。</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提出针对本项目的项目实施方案，内容包括但不限于：①重点、难点问题解决方案；②进度及运输安排；③项目组织与协调；④项目交付；⑤验收方案。 评审依据：各项内容全面详细、阐述条理清晰、对评审内容中的各项要求有详细描述及说明得15分，每有一项缺项扣3分，每有一项内容存在一处缺陷扣1分，扣完为止。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项目质量保障</w:t>
            </w:r>
          </w:p>
        </w:tc>
        <w:tc>
          <w:tcPr>
            <w:tcW w:type="dxa" w:w="2492"/>
          </w:tcPr>
          <w:p>
            <w:pPr>
              <w:pStyle w:val="null3"/>
            </w:pPr>
            <w:r>
              <w:rPr>
                <w:rFonts w:ascii="仿宋_GB2312" w:hAnsi="仿宋_GB2312" w:cs="仿宋_GB2312" w:eastAsia="仿宋_GB2312"/>
              </w:rPr>
              <w:t>提出针对本项目的项目质量保障方案，内容包括但不限于：①供货及施工保障；②质量控制措施；③设备使用及技术保障；④质量管理制度。 评审依据：各项内容全面详细、阐述条理清晰、对评审内容中的各项要求有详细描述及说明得8分，每有一项缺项扣2分，每有一项内容存在一处缺陷扣1分，扣完为止。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提出针对本项目的人员配备方案，内容包括但不限于：①人员配备数量及清单；②人员职责与分工；③团队人员专业性及工作经验介绍。 评审依据：内容全面完整、对各项要求有详细描述，能切合本项目实际情况，方案清晰、内容科学合理，得6分；每有一项缺项扣2分，每有一项内容存在一处缺陷扣1分，扣完为止。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提供针对本项目的售后服务方案，内容包括但不限于：①售后服务内容；②服务流程及方式；③专业技术人员保障；④各类故障响应时间及解决措施；⑤服务承诺。 评审依据：内容全面完整、对各项要求有详细描述，能切合本项目实际情况，方案清晰、内容科学合理，得5分；每有一项缺项扣1分，每有一项内容存在一处缺陷扣0.5分，扣完为止。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提供针对本项目的培训方案，内容包括但不限于：①培训计划；②培训内容；③培训方式。 评审依据：内容全面完整、对各项要求有详细描述，能切合本项目实际情况，方案清晰、内容科学合理，得3分；每有一项缺项扣1分，每有一项内容存在一处缺陷扣0.5分，扣完为止。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提供所投产品合法来源渠道证明文件（包括但不限于销售协议或代理协议或原厂授权等），每提供1个计0.5分，满分2分，未提供不计分。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投标人提供2022年1月1日至今（以合同签订日期为准）类似项目业绩合同，每提供一份计1分，满分4分。 （注：需提供项目合同或协议的关键页（包括但不限于合同首尾页、项目内容页，签字盖章页，签订日期页）扫描件，加盖公章，否则不计分。）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 0.5分，每有一项为环境标志产品经国家认证的计 0.5分，最多计2分。(以经国家确定的认证机构出具的、处于有效期内的节能产品、环境标志产品认证证书为准。)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节能产品政府采购品目清单.docx</w:t>
            </w:r>
          </w:p>
          <w:p>
            <w:pPr>
              <w:pStyle w:val="null3"/>
            </w:pPr>
            <w:r>
              <w:rPr>
                <w:rFonts w:ascii="仿宋_GB2312" w:hAnsi="仿宋_GB2312" w:cs="仿宋_GB2312" w:eastAsia="仿宋_GB2312"/>
              </w:rPr>
              <w:t>环境标志产品政府采购品目清单.docx</w:t>
            </w:r>
          </w:p>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报价表、分项报价表.docx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详见附件：节能产品政府采购品目清单.docx</w:t>
      </w:r>
    </w:p>
    <w:p>
      <w:pPr>
        <w:pStyle w:val="null3"/>
        <w:ind w:firstLine="960"/>
      </w:pPr>
      <w:r>
        <w:rPr>
          <w:rFonts w:ascii="仿宋_GB2312" w:hAnsi="仿宋_GB2312" w:cs="仿宋_GB2312" w:eastAsia="仿宋_GB2312"/>
        </w:rPr>
        <w:t>详见附件：环境标志产品政府采购品目清单.docx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