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0C424E">
      <w:pPr>
        <w:pStyle w:val="5"/>
        <w:spacing w:line="360" w:lineRule="auto"/>
        <w:jc w:val="center"/>
        <w:outlineLvl w:val="1"/>
        <w:rPr>
          <w:rFonts w:hint="default"/>
          <w:color w:val="auto"/>
          <w:highlight w:val="none"/>
        </w:rPr>
      </w:pPr>
      <w:r>
        <w:rPr>
          <w:b/>
          <w:color w:val="auto"/>
          <w:sz w:val="36"/>
          <w:highlight w:val="none"/>
        </w:rPr>
        <w:t>拟签订合同文本</w:t>
      </w:r>
    </w:p>
    <w:p w14:paraId="60DB1327">
      <w:pPr>
        <w:spacing w:line="500" w:lineRule="exact"/>
        <w:jc w:val="center"/>
        <w:rPr>
          <w:b/>
          <w:color w:val="auto"/>
          <w:sz w:val="32"/>
          <w:highlight w:val="none"/>
        </w:rPr>
      </w:pPr>
      <w:r>
        <w:rPr>
          <w:rFonts w:hint="eastAsia"/>
          <w:b/>
          <w:bCs/>
          <w:color w:val="auto"/>
          <w:sz w:val="24"/>
          <w:highlight w:val="none"/>
        </w:rPr>
        <w:t>（仅供参考）</w:t>
      </w:r>
    </w:p>
    <w:p w14:paraId="25708404">
      <w:pPr>
        <w:spacing w:line="500" w:lineRule="exact"/>
        <w:ind w:firstLine="720" w:firstLineChars="300"/>
        <w:rPr>
          <w:rFonts w:hint="eastAsia" w:ascii="宋体" w:hAnsi="宋体"/>
          <w:color w:val="auto"/>
          <w:sz w:val="24"/>
          <w:highlight w:val="none"/>
        </w:rPr>
      </w:pPr>
      <w:r>
        <w:rPr>
          <w:rFonts w:hint="eastAsia" w:ascii="宋体" w:hAnsi="宋体"/>
          <w:color w:val="auto"/>
          <w:sz w:val="24"/>
          <w:highlight w:val="none"/>
          <w:u w:val="single"/>
        </w:rPr>
        <w:t xml:space="preserve">         </w:t>
      </w:r>
      <w:r>
        <w:rPr>
          <w:rFonts w:hint="eastAsia" w:ascii="宋体" w:hAnsi="宋体"/>
          <w:color w:val="auto"/>
          <w:sz w:val="24"/>
          <w:highlight w:val="none"/>
        </w:rPr>
        <w:t>（以下简称甲方）</w:t>
      </w:r>
      <w:r>
        <w:rPr>
          <w:rFonts w:hint="eastAsia" w:ascii="宋体" w:hAnsi="宋体"/>
          <w:color w:val="auto"/>
          <w:sz w:val="24"/>
          <w:highlight w:val="none"/>
          <w:u w:val="single"/>
        </w:rPr>
        <w:t xml:space="preserve">         </w:t>
      </w:r>
      <w:r>
        <w:rPr>
          <w:rFonts w:hint="eastAsia" w:ascii="宋体" w:hAnsi="宋体"/>
          <w:color w:val="auto"/>
          <w:sz w:val="24"/>
          <w:highlight w:val="none"/>
        </w:rPr>
        <w:t>采购，在</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的监督管理下，由</w:t>
      </w:r>
      <w:r>
        <w:rPr>
          <w:rFonts w:hint="eastAsia" w:ascii="宋体" w:hAnsi="宋体"/>
          <w:color w:val="auto"/>
          <w:sz w:val="24"/>
          <w:highlight w:val="none"/>
          <w:u w:val="single"/>
          <w:lang w:eastAsia="zh-CN"/>
        </w:rPr>
        <w:t>陕西开源招标有限公司</w:t>
      </w:r>
      <w:r>
        <w:rPr>
          <w:rFonts w:hint="eastAsia" w:ascii="宋体" w:hAnsi="宋体"/>
          <w:color w:val="auto"/>
          <w:sz w:val="24"/>
          <w:highlight w:val="none"/>
        </w:rPr>
        <w:t>组织采购，选定</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(以下简称乙方）为该项目成交供应商。依据《中华人民共和国民法典》和《中华人民共和国政府采购法》，经甲、乙双方共同协商，按下述条款和条件签署本合同。</w:t>
      </w:r>
    </w:p>
    <w:p w14:paraId="1E8C5D1B">
      <w:pPr>
        <w:spacing w:line="500" w:lineRule="exact"/>
        <w:ind w:firstLine="241"/>
        <w:jc w:val="left"/>
        <w:rPr>
          <w:rFonts w:hint="eastAsia" w:ascii="宋体" w:hAnsi="宋体"/>
          <w:b/>
          <w:color w:val="auto"/>
          <w:sz w:val="24"/>
          <w:highlight w:val="none"/>
        </w:rPr>
      </w:pPr>
      <w:r>
        <w:rPr>
          <w:rFonts w:hint="eastAsia" w:ascii="宋体" w:hAnsi="宋体"/>
          <w:b/>
          <w:color w:val="auto"/>
          <w:sz w:val="24"/>
          <w:highlight w:val="none"/>
        </w:rPr>
        <w:t>一、合同内容</w:t>
      </w:r>
    </w:p>
    <w:p w14:paraId="2B785FE5">
      <w:pPr>
        <w:spacing w:line="50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乙方负责按照合同确定的产品名称、规格型号、数量、产地、配置内容及技术标准组织供货（具体采购项目见附件1），按时运到甲方指定地点；确保所有产品各项指标达到要求；同时乙方根据产品的使用特性做好售后服务。</w:t>
      </w:r>
    </w:p>
    <w:p w14:paraId="723AF084">
      <w:pPr>
        <w:spacing w:line="500" w:lineRule="exact"/>
        <w:ind w:firstLine="241"/>
        <w:jc w:val="left"/>
        <w:rPr>
          <w:rFonts w:hint="eastAsia" w:ascii="宋体" w:hAnsi="宋体"/>
          <w:b/>
          <w:color w:val="auto"/>
          <w:sz w:val="24"/>
          <w:highlight w:val="none"/>
        </w:rPr>
      </w:pPr>
      <w:r>
        <w:rPr>
          <w:rFonts w:hint="eastAsia" w:ascii="宋体" w:hAnsi="宋体"/>
          <w:b/>
          <w:color w:val="auto"/>
          <w:sz w:val="24"/>
          <w:highlight w:val="none"/>
        </w:rPr>
        <w:t>二、合同价格</w:t>
      </w:r>
    </w:p>
    <w:p w14:paraId="2824A592">
      <w:pPr>
        <w:spacing w:line="500" w:lineRule="exact"/>
        <w:ind w:left="420" w:leftChars="200"/>
        <w:jc w:val="left"/>
        <w:rPr>
          <w:rFonts w:hint="eastAsia" w:ascii="宋体" w:hAnsi="宋体"/>
          <w:color w:val="auto"/>
          <w:sz w:val="24"/>
          <w:highlight w:val="none"/>
        </w:rPr>
      </w:pPr>
      <w:r>
        <w:rPr>
          <w:rFonts w:hint="eastAsia" w:ascii="宋体" w:hAnsi="宋体"/>
          <w:color w:val="auto"/>
          <w:sz w:val="24"/>
          <w:highlight w:val="none"/>
          <w:lang w:val="en-US" w:eastAsia="zh-CN"/>
        </w:rPr>
        <w:t>合同价格</w:t>
      </w:r>
      <w:r>
        <w:rPr>
          <w:rFonts w:hint="eastAsia" w:ascii="宋体" w:hAnsi="宋体"/>
          <w:color w:val="auto"/>
          <w:sz w:val="24"/>
          <w:highlight w:val="none"/>
        </w:rPr>
        <w:t>：</w:t>
      </w:r>
      <w:r>
        <w:rPr>
          <w:rFonts w:hint="eastAsia" w:ascii="宋体" w:hAnsi="宋体"/>
          <w:color w:val="auto"/>
          <w:sz w:val="24"/>
          <w:highlight w:val="none"/>
          <w:u w:val="single"/>
        </w:rPr>
        <w:t xml:space="preserve">人民币       元整（¥         元） </w:t>
      </w:r>
    </w:p>
    <w:p w14:paraId="7774AC3D">
      <w:pPr>
        <w:spacing w:line="500" w:lineRule="exact"/>
        <w:jc w:val="left"/>
        <w:rPr>
          <w:rFonts w:hint="eastAsia" w:ascii="宋体" w:hAnsi="宋体"/>
          <w:color w:val="auto"/>
          <w:sz w:val="24"/>
          <w:highlight w:val="none"/>
        </w:rPr>
      </w:pPr>
      <w:r>
        <w:rPr>
          <w:rFonts w:hint="eastAsia" w:ascii="宋体" w:hAnsi="宋体"/>
          <w:color w:val="auto"/>
          <w:sz w:val="24"/>
          <w:highlight w:val="none"/>
        </w:rPr>
        <w:t>说明：</w:t>
      </w:r>
    </w:p>
    <w:p w14:paraId="523D8007">
      <w:pPr>
        <w:numPr>
          <w:ilvl w:val="0"/>
          <w:numId w:val="0"/>
        </w:numPr>
        <w:spacing w:line="500" w:lineRule="exact"/>
        <w:ind w:firstLine="480" w:firstLineChars="200"/>
        <w:jc w:val="left"/>
        <w:rPr>
          <w:rFonts w:hint="eastAsia" w:ascii="宋体" w:hAnsi="宋体"/>
          <w:color w:val="auto"/>
          <w:sz w:val="24"/>
          <w:highlight w:val="none"/>
        </w:rPr>
      </w:pPr>
      <w:r>
        <w:rPr>
          <w:rFonts w:hint="eastAsia" w:ascii="宋体" w:hAnsi="宋体" w:cstheme="minorBidi"/>
          <w:color w:val="auto"/>
          <w:kern w:val="2"/>
          <w:sz w:val="24"/>
          <w:szCs w:val="24"/>
          <w:lang w:val="en-US" w:eastAsia="zh-CN" w:bidi="ar-SA"/>
        </w:rPr>
        <w:t>1、</w:t>
      </w:r>
      <w:r>
        <w:rPr>
          <w:rStyle w:val="6"/>
          <w:color w:val="auto"/>
          <w:sz w:val="24"/>
          <w:highlight w:val="none"/>
        </w:rPr>
        <w:t>合同</w:t>
      </w:r>
      <w:r>
        <w:rPr>
          <w:rStyle w:val="6"/>
          <w:rFonts w:hint="eastAsia"/>
          <w:color w:val="auto"/>
          <w:sz w:val="24"/>
          <w:highlight w:val="none"/>
          <w:lang w:val="en-US"/>
        </w:rPr>
        <w:t>价格</w:t>
      </w:r>
      <w:r>
        <w:rPr>
          <w:rStyle w:val="6"/>
          <w:color w:val="auto"/>
          <w:sz w:val="24"/>
          <w:highlight w:val="none"/>
        </w:rPr>
        <w:t>包含项目报价、其他费用及应缴纳的全部税款等费用。</w:t>
      </w:r>
    </w:p>
    <w:p w14:paraId="49548999">
      <w:pPr>
        <w:numPr>
          <w:ilvl w:val="0"/>
          <w:numId w:val="0"/>
        </w:numPr>
        <w:spacing w:line="500" w:lineRule="exact"/>
        <w:ind w:firstLine="480" w:firstLineChars="200"/>
        <w:jc w:val="left"/>
        <w:rPr>
          <w:rFonts w:hint="eastAsia" w:ascii="宋体" w:hAnsi="宋体"/>
          <w:color w:val="auto"/>
          <w:sz w:val="24"/>
          <w:highlight w:val="none"/>
        </w:rPr>
      </w:pPr>
      <w:r>
        <w:rPr>
          <w:rFonts w:hint="eastAsia" w:ascii="宋体" w:hAnsi="宋体" w:cstheme="minorBidi"/>
          <w:color w:val="auto"/>
          <w:kern w:val="2"/>
          <w:sz w:val="24"/>
          <w:szCs w:val="24"/>
          <w:lang w:val="en-US" w:eastAsia="zh-CN" w:bidi="ar-SA"/>
        </w:rPr>
        <w:t>2、</w:t>
      </w:r>
      <w:r>
        <w:rPr>
          <w:rFonts w:hint="eastAsia" w:ascii="宋体" w:hAnsi="宋体"/>
          <w:color w:val="auto"/>
          <w:sz w:val="24"/>
          <w:highlight w:val="none"/>
        </w:rPr>
        <w:t>合同</w:t>
      </w:r>
      <w:r>
        <w:rPr>
          <w:rFonts w:hint="eastAsia" w:ascii="宋体" w:hAnsi="宋体"/>
          <w:color w:val="auto"/>
          <w:sz w:val="24"/>
          <w:highlight w:val="none"/>
          <w:lang w:val="en-US" w:eastAsia="zh-CN"/>
        </w:rPr>
        <w:t>价格</w:t>
      </w:r>
      <w:r>
        <w:rPr>
          <w:rFonts w:hint="eastAsia" w:ascii="宋体" w:hAnsi="宋体"/>
          <w:color w:val="auto"/>
          <w:sz w:val="24"/>
          <w:highlight w:val="none"/>
        </w:rPr>
        <w:t>一次包死，不受市场价格变化的影响，并作为结算的唯一依据。</w:t>
      </w:r>
    </w:p>
    <w:p w14:paraId="4360BD6A">
      <w:pPr>
        <w:spacing w:line="500" w:lineRule="exact"/>
        <w:ind w:firstLine="241"/>
        <w:jc w:val="left"/>
        <w:rPr>
          <w:rFonts w:hint="eastAsia" w:ascii="宋体" w:hAnsi="宋体"/>
          <w:b/>
          <w:color w:val="auto"/>
          <w:sz w:val="24"/>
          <w:highlight w:val="none"/>
        </w:rPr>
      </w:pPr>
      <w:r>
        <w:rPr>
          <w:rFonts w:hint="eastAsia" w:ascii="宋体" w:hAnsi="宋体"/>
          <w:b/>
          <w:color w:val="auto"/>
          <w:sz w:val="24"/>
          <w:highlight w:val="none"/>
        </w:rPr>
        <w:t>三、合同款项支付</w:t>
      </w:r>
    </w:p>
    <w:p w14:paraId="67F18A2E">
      <w:pPr>
        <w:pStyle w:val="5"/>
        <w:spacing w:line="360" w:lineRule="auto"/>
        <w:ind w:firstLine="480" w:firstLineChars="200"/>
        <w:rPr>
          <w:rFonts w:ascii="宋体" w:hAnsi="宋体" w:eastAsia="宋体" w:cs="宋体"/>
          <w:color w:val="auto"/>
          <w:sz w:val="24"/>
          <w:szCs w:val="24"/>
          <w:highlight w:val="none"/>
        </w:rPr>
      </w:pPr>
      <w:r>
        <w:rPr>
          <w:rFonts w:ascii="宋体" w:hAnsi="宋体" w:eastAsia="宋体" w:cs="宋体"/>
          <w:color w:val="auto"/>
          <w:sz w:val="24"/>
          <w:szCs w:val="24"/>
          <w:highlight w:val="none"/>
        </w:rPr>
        <w:t>付款条件说明：</w:t>
      </w:r>
      <w:r>
        <w:rPr>
          <w:rFonts w:hint="eastAsia" w:ascii="宋体" w:hAnsi="宋体" w:eastAsia="宋体" w:cs="宋体"/>
          <w:color w:val="auto"/>
          <w:sz w:val="24"/>
          <w:szCs w:val="24"/>
          <w:highlight w:val="none"/>
          <w:u w:val="single"/>
        </w:rPr>
        <w:t>供应商完成合同全部内容并经采购人验收合格后，在采购人付款前提供全额增值税专用发票</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在供应商提供后，方可办理付款手续（税票办理具体问题与学校财务部门咨询或协商）。若供应商不能按学校财务部门要求出具发票, 采购人有权不予付款，由此造成的一切损失由供应商自行承担。如因发票问题使得采购人蒙受损失（包括罚款、处理费用、声誉影响等）的，供应商应当承担全部责任，并赔偿损失</w:t>
      </w:r>
      <w:r>
        <w:rPr>
          <w:rFonts w:hint="eastAsia" w:ascii="宋体" w:hAnsi="宋体" w:eastAsia="宋体" w:cs="宋体"/>
          <w:color w:val="auto"/>
          <w:sz w:val="24"/>
          <w:szCs w:val="24"/>
          <w:highlight w:val="none"/>
          <w:u w:val="single"/>
          <w:lang w:eastAsia="zh-CN"/>
        </w:rPr>
        <w:t>，</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z w:val="24"/>
          <w:szCs w:val="24"/>
          <w:highlight w:val="none"/>
        </w:rPr>
        <w:t>达到付款条件起</w:t>
      </w:r>
      <w:r>
        <w:rPr>
          <w:rFonts w:hint="eastAsia" w:ascii="宋体" w:hAnsi="宋体" w:eastAsia="宋体" w:cs="宋体"/>
          <w:color w:val="auto"/>
          <w:sz w:val="24"/>
          <w:szCs w:val="24"/>
          <w:highlight w:val="none"/>
          <w:u w:val="single"/>
          <w:lang w:val="en-US" w:eastAsia="zh-CN"/>
        </w:rPr>
        <w:t xml:space="preserve"> 20</w:t>
      </w:r>
      <w:r>
        <w:rPr>
          <w:rFonts w:ascii="宋体" w:hAnsi="宋体" w:eastAsia="宋体" w:cs="宋体"/>
          <w:color w:val="auto"/>
          <w:sz w:val="24"/>
          <w:szCs w:val="24"/>
          <w:highlight w:val="none"/>
          <w:u w:val="single"/>
        </w:rPr>
        <w:t xml:space="preserve"> </w:t>
      </w:r>
      <w:r>
        <w:rPr>
          <w:rFonts w:ascii="宋体" w:hAnsi="宋体" w:eastAsia="宋体" w:cs="宋体"/>
          <w:color w:val="auto"/>
          <w:sz w:val="24"/>
          <w:szCs w:val="24"/>
          <w:highlight w:val="none"/>
        </w:rPr>
        <w:t>日内，支付合同总金额的</w:t>
      </w:r>
      <w:r>
        <w:rPr>
          <w:rFonts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100</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z w:val="24"/>
          <w:szCs w:val="24"/>
          <w:highlight w:val="none"/>
        </w:rPr>
        <w:t>%。</w:t>
      </w:r>
    </w:p>
    <w:p w14:paraId="61407F4F">
      <w:pPr>
        <w:spacing w:line="500" w:lineRule="exact"/>
        <w:ind w:firstLine="241"/>
        <w:jc w:val="left"/>
        <w:rPr>
          <w:rFonts w:hint="eastAsia" w:ascii="宋体" w:hAnsi="宋体"/>
          <w:b/>
          <w:color w:val="auto"/>
          <w:sz w:val="24"/>
          <w:highlight w:val="none"/>
          <w:lang w:val="en-US" w:eastAsia="zh-CN"/>
        </w:rPr>
      </w:pPr>
      <w:r>
        <w:rPr>
          <w:rFonts w:hint="eastAsia" w:ascii="宋体" w:hAnsi="宋体"/>
          <w:b/>
          <w:color w:val="auto"/>
          <w:sz w:val="24"/>
          <w:highlight w:val="none"/>
          <w:lang w:val="en-US" w:eastAsia="zh-CN"/>
        </w:rPr>
        <w:t>四、履约保证金</w:t>
      </w:r>
    </w:p>
    <w:p w14:paraId="12E81999">
      <w:pPr>
        <w:pStyle w:val="5"/>
        <w:numPr>
          <w:ilvl w:val="0"/>
          <w:numId w:val="0"/>
        </w:numPr>
        <w:spacing w:line="400" w:lineRule="exact"/>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本采购包履约保证金为合同金额的</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.0%</w:t>
      </w:r>
    </w:p>
    <w:p w14:paraId="11696591">
      <w:pPr>
        <w:pStyle w:val="5"/>
        <w:numPr>
          <w:ilvl w:val="0"/>
          <w:numId w:val="0"/>
        </w:numPr>
        <w:spacing w:line="400" w:lineRule="exact"/>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Hans" w:bidi="ar-SA"/>
        </w:rPr>
        <w:t>1、</w:t>
      </w:r>
      <w:r>
        <w:rPr>
          <w:rFonts w:hint="eastAsia" w:ascii="宋体" w:hAnsi="宋体" w:eastAsia="宋体" w:cs="宋体"/>
          <w:color w:val="auto"/>
          <w:sz w:val="24"/>
          <w:szCs w:val="24"/>
          <w:highlight w:val="none"/>
        </w:rPr>
        <w:t>履约保证金缴纳时间：中标后</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日内需要缴纳履约保证金。未在规定时间内缴纳履约保证金视为拒签合同，自动放弃中标资格。 </w:t>
      </w:r>
    </w:p>
    <w:p w14:paraId="152CA587">
      <w:pPr>
        <w:pStyle w:val="5"/>
        <w:numPr>
          <w:ilvl w:val="0"/>
          <w:numId w:val="0"/>
        </w:numPr>
        <w:spacing w:line="40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bidi="ar-SA"/>
        </w:rPr>
        <w:t>2、</w:t>
      </w:r>
      <w:r>
        <w:rPr>
          <w:rFonts w:hint="eastAsia" w:ascii="宋体" w:hAnsi="宋体" w:eastAsia="宋体" w:cs="宋体"/>
          <w:color w:val="auto"/>
          <w:sz w:val="24"/>
          <w:szCs w:val="24"/>
          <w:highlight w:val="none"/>
        </w:rPr>
        <w:t>履约保证金缴纳形式：中标人应当以支票、汇票、本票、保函等非现金形式缴纳。</w:t>
      </w:r>
    </w:p>
    <w:p w14:paraId="20E9EF87">
      <w:pPr>
        <w:pStyle w:val="5"/>
        <w:numPr>
          <w:ilvl w:val="0"/>
          <w:numId w:val="0"/>
        </w:numPr>
        <w:spacing w:line="360" w:lineRule="auto"/>
        <w:ind w:firstLine="480" w:firstLineChars="200"/>
        <w:rPr>
          <w:rFonts w:hint="default"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bidi="ar-SA"/>
        </w:rPr>
        <w:t>3、履约保证金的退还：</w:t>
      </w:r>
      <w:r>
        <w:rPr>
          <w:rFonts w:hint="eastAsia" w:ascii="宋体" w:hAnsi="宋体" w:eastAsia="宋体" w:cs="宋体"/>
          <w:color w:val="auto"/>
          <w:sz w:val="24"/>
          <w:szCs w:val="24"/>
          <w:highlight w:val="none"/>
          <w:lang w:val="en-US" w:eastAsia="zh-CN"/>
        </w:rPr>
        <w:t>在最终验收合格之日起满24个月后，采购人在收到供应商书面申请，经采购人确认供应商履行了合同约定的义务，无违约情形，一次性予以无息退还</w:t>
      </w:r>
      <w:r>
        <w:rPr>
          <w:rFonts w:hint="eastAsia" w:ascii="宋体" w:hAnsi="宋体" w:eastAsia="宋体" w:cs="宋体"/>
          <w:color w:val="auto"/>
          <w:sz w:val="24"/>
          <w:szCs w:val="24"/>
          <w:highlight w:val="none"/>
          <w:lang w:eastAsia="zh-CN"/>
        </w:rPr>
        <w:t>。</w:t>
      </w:r>
    </w:p>
    <w:p w14:paraId="5E6183B8">
      <w:pPr>
        <w:spacing w:line="500" w:lineRule="exact"/>
        <w:ind w:firstLine="241"/>
        <w:jc w:val="left"/>
        <w:rPr>
          <w:rFonts w:hint="eastAsia" w:ascii="宋体" w:hAnsi="宋体"/>
          <w:b/>
          <w:color w:val="auto"/>
          <w:sz w:val="24"/>
          <w:highlight w:val="none"/>
        </w:rPr>
      </w:pPr>
      <w:r>
        <w:rPr>
          <w:rFonts w:hint="eastAsia" w:ascii="宋体" w:hAnsi="宋体"/>
          <w:b/>
          <w:color w:val="auto"/>
          <w:sz w:val="24"/>
          <w:highlight w:val="none"/>
          <w:lang w:val="en-US" w:eastAsia="zh-CN"/>
        </w:rPr>
        <w:t>五</w:t>
      </w:r>
      <w:r>
        <w:rPr>
          <w:rFonts w:hint="eastAsia" w:ascii="宋体" w:hAnsi="宋体"/>
          <w:b/>
          <w:color w:val="auto"/>
          <w:sz w:val="24"/>
          <w:highlight w:val="none"/>
        </w:rPr>
        <w:t>、</w:t>
      </w:r>
      <w:r>
        <w:rPr>
          <w:rFonts w:hint="eastAsia" w:ascii="宋体" w:hAnsi="宋体"/>
          <w:b/>
          <w:color w:val="auto"/>
          <w:sz w:val="24"/>
          <w:highlight w:val="none"/>
          <w:lang w:val="en-US" w:eastAsia="zh-CN"/>
        </w:rPr>
        <w:t>项目实施</w:t>
      </w:r>
      <w:r>
        <w:rPr>
          <w:rFonts w:hint="eastAsia" w:ascii="宋体" w:hAnsi="宋体"/>
          <w:b/>
          <w:color w:val="auto"/>
          <w:sz w:val="24"/>
          <w:highlight w:val="none"/>
        </w:rPr>
        <w:t>条件</w:t>
      </w:r>
    </w:p>
    <w:p w14:paraId="2CF2D6D3">
      <w:pPr>
        <w:spacing w:line="500" w:lineRule="exact"/>
        <w:ind w:firstLine="480" w:firstLineChars="200"/>
        <w:jc w:val="left"/>
        <w:rPr>
          <w:rFonts w:hint="eastAsia" w:ascii="宋体" w:hAnsi="宋体" w:cs="Helvetica"/>
          <w:color w:val="auto"/>
          <w:kern w:val="0"/>
          <w:sz w:val="24"/>
          <w:highlight w:val="none"/>
        </w:rPr>
      </w:pPr>
      <w:r>
        <w:rPr>
          <w:rFonts w:hint="eastAsia" w:ascii="宋体" w:hAnsi="宋体"/>
          <w:color w:val="auto"/>
          <w:sz w:val="24"/>
          <w:highlight w:val="none"/>
          <w:lang w:val="en-US" w:eastAsia="zh-CN"/>
        </w:rPr>
        <w:t>1、</w:t>
      </w:r>
      <w:r>
        <w:rPr>
          <w:rFonts w:hint="eastAsia" w:ascii="宋体" w:hAnsi="宋体"/>
          <w:color w:val="auto"/>
          <w:sz w:val="24"/>
          <w:highlight w:val="none"/>
          <w:lang w:eastAsia="zh-CN"/>
        </w:rPr>
        <w:t>项目完工期</w:t>
      </w:r>
      <w:r>
        <w:rPr>
          <w:rFonts w:hint="eastAsia" w:ascii="宋体" w:hAnsi="宋体"/>
          <w:color w:val="auto"/>
          <w:sz w:val="24"/>
          <w:highlight w:val="none"/>
        </w:rPr>
        <w:t>：</w:t>
      </w:r>
      <w:r>
        <w:rPr>
          <w:rFonts w:hint="eastAsia" w:ascii="宋体" w:hAnsi="宋体"/>
          <w:color w:val="auto"/>
          <w:sz w:val="24"/>
          <w:highlight w:val="none"/>
          <w:lang w:val="en-US" w:eastAsia="zh-CN"/>
        </w:rPr>
        <w:t>自合同签订之日起，32个自然日内完成3间实训室改造，完成所有设备的到货、安装、调试及初步验收</w:t>
      </w:r>
      <w:r>
        <w:rPr>
          <w:rFonts w:hint="eastAsia" w:ascii="宋体" w:hAnsi="宋体"/>
          <w:color w:val="auto"/>
          <w:sz w:val="24"/>
          <w:highlight w:val="none"/>
        </w:rPr>
        <w:t>。</w:t>
      </w:r>
    </w:p>
    <w:p w14:paraId="6BC9488C">
      <w:pPr>
        <w:spacing w:line="500" w:lineRule="exact"/>
        <w:ind w:firstLine="480" w:firstLineChars="200"/>
        <w:jc w:val="left"/>
        <w:rPr>
          <w:rFonts w:hint="eastAsia" w:ascii="宋体" w:hAnsi="宋体" w:eastAsia="宋体"/>
          <w:color w:val="FF0000"/>
          <w:sz w:val="24"/>
          <w:highlight w:val="yellow"/>
          <w:lang w:eastAsia="zh-CN"/>
        </w:rPr>
      </w:pPr>
      <w:r>
        <w:rPr>
          <w:rFonts w:hint="eastAsia" w:ascii="宋体" w:hAnsi="宋体"/>
          <w:color w:val="auto"/>
          <w:sz w:val="24"/>
          <w:highlight w:val="none"/>
          <w:lang w:val="en-US" w:eastAsia="zh-CN"/>
        </w:rPr>
        <w:t>2、</w:t>
      </w:r>
      <w:r>
        <w:rPr>
          <w:rFonts w:hint="eastAsia" w:ascii="宋体" w:hAnsi="宋体"/>
          <w:color w:val="auto"/>
          <w:sz w:val="24"/>
          <w:highlight w:val="none"/>
        </w:rPr>
        <w:t>质保期：</w:t>
      </w:r>
      <w:r>
        <w:rPr>
          <w:rFonts w:hint="eastAsia" w:ascii="宋体" w:hAnsi="宋体" w:eastAsia="宋体" w:cs="宋体"/>
          <w:b w:val="0"/>
          <w:bCs/>
          <w:color w:val="auto"/>
          <w:sz w:val="24"/>
          <w:highlight w:val="none"/>
          <w:lang w:eastAsia="zh-CN"/>
        </w:rPr>
        <w:t>机器人整机质保一年，核心部件电机以及核心开发板等硬件质保三年。其他硬件设备整机质保至少一年，硬盘、主板等核心部件提供质保至少两年。</w:t>
      </w:r>
    </w:p>
    <w:p w14:paraId="07DCEF10">
      <w:pPr>
        <w:spacing w:line="500" w:lineRule="exact"/>
        <w:ind w:firstLine="480" w:firstLineChars="200"/>
        <w:jc w:val="left"/>
        <w:rPr>
          <w:rFonts w:hint="eastAsia" w:ascii="宋体" w:hAnsi="宋体"/>
          <w:color w:val="000000" w:themeColor="text1"/>
          <w:sz w:val="24"/>
          <w:highlight w:val="none"/>
          <w:lang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3、</w:t>
      </w:r>
      <w:r>
        <w:rPr>
          <w:rFonts w:hint="eastAsia" w:ascii="宋体" w:hAnsi="宋体"/>
          <w:color w:val="000000" w:themeColor="text1"/>
          <w:sz w:val="24"/>
          <w:highlight w:val="none"/>
          <w14:textFill>
            <w14:solidFill>
              <w14:schemeClr w14:val="tx1"/>
            </w14:solidFill>
          </w14:textFill>
        </w:rPr>
        <w:t>交货地点：</w:t>
      </w:r>
      <w:r>
        <w:rPr>
          <w:rFonts w:hint="eastAsia" w:ascii="宋体" w:hAnsi="宋体"/>
          <w:color w:val="000000" w:themeColor="text1"/>
          <w:sz w:val="24"/>
          <w:highlight w:val="none"/>
          <w:lang w:eastAsia="zh-CN"/>
          <w14:textFill>
            <w14:solidFill>
              <w14:schemeClr w14:val="tx1"/>
            </w14:solidFill>
          </w14:textFill>
        </w:rPr>
        <w:t>陕西职业技术学院</w:t>
      </w:r>
      <w:r>
        <w:rPr>
          <w:rFonts w:hint="eastAsia" w:ascii="宋体" w:hAnsi="宋体"/>
          <w:color w:val="000000" w:themeColor="text1"/>
          <w:sz w:val="24"/>
          <w:highlight w:val="none"/>
          <w14:textFill>
            <w14:solidFill>
              <w14:schemeClr w14:val="tx1"/>
            </w14:solidFill>
          </w14:textFill>
        </w:rPr>
        <w:t>指定地点</w:t>
      </w:r>
      <w:r>
        <w:rPr>
          <w:rFonts w:hint="eastAsia" w:hAnsi="宋体"/>
          <w:color w:val="000000" w:themeColor="text1"/>
          <w:sz w:val="24"/>
          <w:highlight w:val="none"/>
          <w14:textFill>
            <w14:solidFill>
              <w14:schemeClr w14:val="tx1"/>
            </w14:solidFill>
          </w14:textFill>
        </w:rPr>
        <w:t>。</w:t>
      </w:r>
    </w:p>
    <w:p w14:paraId="5B45E0CD">
      <w:pPr>
        <w:spacing w:line="500" w:lineRule="exact"/>
        <w:ind w:firstLine="241"/>
        <w:jc w:val="left"/>
        <w:rPr>
          <w:rFonts w:hint="eastAsia" w:ascii="宋体" w:hAnsi="宋体"/>
          <w:b/>
          <w:color w:val="auto"/>
          <w:sz w:val="24"/>
          <w:highlight w:val="none"/>
        </w:rPr>
      </w:pPr>
      <w:r>
        <w:rPr>
          <w:rFonts w:hint="eastAsia" w:ascii="宋体" w:hAnsi="宋体"/>
          <w:b/>
          <w:color w:val="auto"/>
          <w:sz w:val="24"/>
          <w:highlight w:val="none"/>
          <w:lang w:val="en-US" w:eastAsia="zh-CN"/>
        </w:rPr>
        <w:t>六</w:t>
      </w:r>
      <w:r>
        <w:rPr>
          <w:rFonts w:hint="eastAsia" w:ascii="宋体" w:hAnsi="宋体"/>
          <w:b/>
          <w:color w:val="auto"/>
          <w:sz w:val="24"/>
          <w:highlight w:val="none"/>
        </w:rPr>
        <w:t>、包装运输</w:t>
      </w:r>
    </w:p>
    <w:p w14:paraId="6F1A9B34">
      <w:pPr>
        <w:spacing w:line="50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lang w:val="en-US" w:eastAsia="zh-CN"/>
        </w:rPr>
        <w:t>1、</w:t>
      </w:r>
      <w:r>
        <w:rPr>
          <w:rFonts w:hint="eastAsia" w:ascii="宋体" w:hAnsi="宋体"/>
          <w:color w:val="auto"/>
          <w:sz w:val="24"/>
          <w:highlight w:val="none"/>
        </w:rPr>
        <w:t>运杂费：一次包死，已包含在合同总价内，包括从产品供应地点到交货地点所包含的运输费、保险费、搬运费等一切费用。</w:t>
      </w:r>
    </w:p>
    <w:p w14:paraId="640E0D28">
      <w:pPr>
        <w:spacing w:line="50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lang w:val="en-US" w:eastAsia="zh-CN"/>
        </w:rPr>
        <w:t>2、</w:t>
      </w:r>
      <w:r>
        <w:rPr>
          <w:rFonts w:hint="eastAsia" w:ascii="宋体" w:hAnsi="宋体"/>
          <w:color w:val="auto"/>
          <w:sz w:val="24"/>
          <w:highlight w:val="none"/>
        </w:rPr>
        <w:t>运输方式：</w:t>
      </w:r>
      <w:r>
        <w:rPr>
          <w:rFonts w:hint="eastAsia" w:ascii="宋体" w:hAnsi="宋体"/>
          <w:color w:val="auto"/>
          <w:sz w:val="24"/>
          <w:highlight w:val="none"/>
          <w:u w:val="single"/>
        </w:rPr>
        <w:t xml:space="preserve">            </w:t>
      </w:r>
    </w:p>
    <w:p w14:paraId="1D37C030">
      <w:pPr>
        <w:spacing w:line="500" w:lineRule="exact"/>
        <w:ind w:firstLine="241"/>
        <w:jc w:val="left"/>
        <w:rPr>
          <w:rFonts w:hint="eastAsia" w:ascii="宋体" w:hAnsi="宋体"/>
          <w:b/>
          <w:color w:val="auto"/>
          <w:sz w:val="24"/>
          <w:highlight w:val="none"/>
        </w:rPr>
      </w:pPr>
      <w:r>
        <w:rPr>
          <w:rFonts w:hint="eastAsia" w:ascii="宋体" w:hAnsi="宋体"/>
          <w:b/>
          <w:color w:val="auto"/>
          <w:sz w:val="24"/>
          <w:highlight w:val="none"/>
          <w:lang w:val="en-US" w:eastAsia="zh-CN"/>
        </w:rPr>
        <w:t>七</w:t>
      </w:r>
      <w:r>
        <w:rPr>
          <w:rFonts w:hint="eastAsia" w:ascii="宋体" w:hAnsi="宋体"/>
          <w:b/>
          <w:color w:val="auto"/>
          <w:sz w:val="24"/>
          <w:highlight w:val="none"/>
        </w:rPr>
        <w:t>、质量保证</w:t>
      </w:r>
    </w:p>
    <w:p w14:paraId="0F2659C6">
      <w:pPr>
        <w:spacing w:line="50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lang w:val="en-US" w:eastAsia="zh-CN"/>
        </w:rPr>
        <w:t>1、</w:t>
      </w:r>
      <w:r>
        <w:rPr>
          <w:rFonts w:hint="eastAsia" w:ascii="宋体" w:hAnsi="宋体"/>
          <w:color w:val="auto"/>
          <w:sz w:val="24"/>
          <w:highlight w:val="none"/>
        </w:rPr>
        <w:t>乙方提供给甲方的产品必须是设计科学、技术成熟、工艺优良，是用优质材料制造的、先进的、原厂生产的未曾使用过的、全新的合格产品。</w:t>
      </w:r>
    </w:p>
    <w:p w14:paraId="7AFA8336">
      <w:pPr>
        <w:spacing w:line="50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lang w:val="en-US" w:eastAsia="zh-CN"/>
        </w:rPr>
        <w:t>2、</w:t>
      </w:r>
      <w:r>
        <w:rPr>
          <w:rFonts w:hint="eastAsia" w:ascii="宋体" w:hAnsi="宋体"/>
          <w:color w:val="auto"/>
          <w:sz w:val="24"/>
          <w:highlight w:val="none"/>
        </w:rPr>
        <w:t>设计技术专利、外形专利、应用软件专利等均应符合我国有关法律及行业标准，凡因以上问题与第三方发生的任何纠纷均与甲方无关。</w:t>
      </w:r>
    </w:p>
    <w:p w14:paraId="096C48E5">
      <w:pPr>
        <w:spacing w:line="50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安全可靠。在正常使用下不应对操作者造成任何人身伤害，如因产品质量或标示不明确而对操作者造成损失的，甲方将保留依法索赔的权利。</w:t>
      </w:r>
    </w:p>
    <w:p w14:paraId="685123A9">
      <w:pPr>
        <w:spacing w:line="50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有强制性安全标准的产品，乙方应提供该产品的制造许可证证明。</w:t>
      </w:r>
    </w:p>
    <w:p w14:paraId="714ECF78">
      <w:pPr>
        <w:spacing w:line="50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属于国家计量检测强检的产品，供货时提供本省法定计量检测机构出具的检测证书。</w:t>
      </w:r>
    </w:p>
    <w:p w14:paraId="678CAC63">
      <w:pPr>
        <w:spacing w:line="50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产品性能必须与其标示的技术指标项符合，甲方有权在产品的有效保质期内依据技术指标对该产品进行技术验收，其主要的技术参数达不到标准时，甲方有权无条件退货或依据有关法律索赔。</w:t>
      </w:r>
    </w:p>
    <w:p w14:paraId="5D838288">
      <w:pPr>
        <w:spacing w:line="50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bCs/>
          <w:color w:val="auto"/>
          <w:sz w:val="24"/>
          <w:highlight w:val="none"/>
        </w:rPr>
        <w:t>乙方所提供</w:t>
      </w:r>
      <w:r>
        <w:rPr>
          <w:rFonts w:hint="eastAsia" w:ascii="宋体" w:hAnsi="宋体"/>
          <w:bCs/>
          <w:color w:val="auto"/>
          <w:sz w:val="24"/>
          <w:highlight w:val="none"/>
          <w:lang w:eastAsia="zh-CN"/>
        </w:rPr>
        <w:t>产品</w:t>
      </w:r>
      <w:r>
        <w:rPr>
          <w:rFonts w:hint="eastAsia" w:ascii="宋体" w:hAnsi="宋体"/>
          <w:bCs/>
          <w:color w:val="auto"/>
          <w:sz w:val="24"/>
          <w:highlight w:val="none"/>
        </w:rPr>
        <w:t>质保期为_____。</w:t>
      </w:r>
      <w:r>
        <w:rPr>
          <w:rFonts w:hint="eastAsia" w:ascii="宋体" w:hAnsi="宋体"/>
          <w:bCs/>
          <w:color w:val="auto"/>
          <w:sz w:val="24"/>
          <w:highlight w:val="none"/>
          <w:lang w:eastAsia="zh-CN"/>
        </w:rPr>
        <w:t>产品</w:t>
      </w:r>
      <w:r>
        <w:rPr>
          <w:rFonts w:hint="eastAsia" w:ascii="宋体" w:hAnsi="宋体"/>
          <w:bCs/>
          <w:color w:val="auto"/>
          <w:sz w:val="24"/>
          <w:highlight w:val="none"/>
        </w:rPr>
        <w:t>质保期按</w:t>
      </w:r>
      <w:r>
        <w:rPr>
          <w:rFonts w:hint="eastAsia" w:ascii="宋体" w:hAnsi="宋体"/>
          <w:bCs/>
          <w:color w:val="auto"/>
          <w:sz w:val="24"/>
          <w:highlight w:val="none"/>
          <w:lang w:eastAsia="zh-CN"/>
        </w:rPr>
        <w:t>产品</w:t>
      </w:r>
      <w:r>
        <w:rPr>
          <w:rFonts w:hint="eastAsia" w:ascii="宋体" w:hAnsi="宋体"/>
          <w:bCs/>
          <w:color w:val="auto"/>
          <w:sz w:val="24"/>
          <w:highlight w:val="none"/>
        </w:rPr>
        <w:t>安装验收合格办理入库之日算起。</w:t>
      </w:r>
      <w:r>
        <w:rPr>
          <w:rFonts w:hint="eastAsia" w:ascii="宋体" w:hAnsi="宋体"/>
          <w:color w:val="auto"/>
          <w:sz w:val="24"/>
          <w:highlight w:val="none"/>
        </w:rPr>
        <w:t>质保期满后如需更换零部件，只收取零部件成本费，终身免费维护保养。</w:t>
      </w:r>
    </w:p>
    <w:p w14:paraId="4ADF094D">
      <w:pPr>
        <w:spacing w:line="500" w:lineRule="exact"/>
        <w:ind w:firstLine="241"/>
        <w:jc w:val="left"/>
        <w:rPr>
          <w:rFonts w:hint="eastAsia" w:ascii="宋体" w:hAnsi="宋体"/>
          <w:b/>
          <w:color w:val="auto"/>
          <w:sz w:val="24"/>
          <w:highlight w:val="none"/>
        </w:rPr>
      </w:pPr>
      <w:r>
        <w:rPr>
          <w:rFonts w:hint="eastAsia" w:ascii="宋体" w:hAnsi="宋体"/>
          <w:b/>
          <w:color w:val="auto"/>
          <w:sz w:val="24"/>
          <w:highlight w:val="none"/>
          <w:lang w:val="en-US" w:eastAsia="zh-CN"/>
        </w:rPr>
        <w:t>八</w:t>
      </w:r>
      <w:r>
        <w:rPr>
          <w:rFonts w:hint="eastAsia" w:ascii="宋体" w:hAnsi="宋体"/>
          <w:b/>
          <w:color w:val="auto"/>
          <w:sz w:val="24"/>
          <w:highlight w:val="none"/>
        </w:rPr>
        <w:t>、技术规格及标准。（详见附件2）</w:t>
      </w:r>
    </w:p>
    <w:p w14:paraId="7E74A24E">
      <w:pPr>
        <w:spacing w:line="500" w:lineRule="exact"/>
        <w:ind w:firstLine="241"/>
        <w:jc w:val="left"/>
        <w:rPr>
          <w:rFonts w:hint="eastAsia" w:ascii="宋体" w:hAnsi="宋体"/>
          <w:b/>
          <w:color w:val="auto"/>
          <w:sz w:val="24"/>
          <w:highlight w:val="none"/>
        </w:rPr>
      </w:pPr>
      <w:r>
        <w:rPr>
          <w:rFonts w:hint="eastAsia" w:ascii="宋体" w:hAnsi="宋体"/>
          <w:b/>
          <w:color w:val="auto"/>
          <w:sz w:val="24"/>
          <w:highlight w:val="none"/>
          <w:lang w:val="en-US" w:eastAsia="zh-CN"/>
        </w:rPr>
        <w:t>九</w:t>
      </w:r>
      <w:r>
        <w:rPr>
          <w:rFonts w:hint="eastAsia" w:ascii="宋体" w:hAnsi="宋体"/>
          <w:b/>
          <w:color w:val="auto"/>
          <w:sz w:val="24"/>
          <w:highlight w:val="none"/>
        </w:rPr>
        <w:t>、配置清单。（详见附件3）</w:t>
      </w:r>
    </w:p>
    <w:p w14:paraId="2F42A588">
      <w:pPr>
        <w:spacing w:line="500" w:lineRule="exact"/>
        <w:ind w:firstLine="241"/>
        <w:jc w:val="left"/>
        <w:rPr>
          <w:rFonts w:hint="eastAsia" w:ascii="宋体" w:hAnsi="宋体"/>
          <w:b/>
          <w:color w:val="auto"/>
          <w:sz w:val="24"/>
          <w:highlight w:val="none"/>
        </w:rPr>
      </w:pPr>
      <w:r>
        <w:rPr>
          <w:rFonts w:hint="eastAsia" w:ascii="宋体" w:hAnsi="宋体"/>
          <w:b/>
          <w:color w:val="auto"/>
          <w:sz w:val="24"/>
          <w:highlight w:val="none"/>
          <w:lang w:val="en-US" w:eastAsia="zh-CN"/>
        </w:rPr>
        <w:t>十</w:t>
      </w:r>
      <w:r>
        <w:rPr>
          <w:rFonts w:hint="eastAsia" w:ascii="宋体" w:hAnsi="宋体"/>
          <w:b/>
          <w:color w:val="auto"/>
          <w:sz w:val="24"/>
          <w:highlight w:val="none"/>
        </w:rPr>
        <w:t>、技术服务</w:t>
      </w:r>
    </w:p>
    <w:p w14:paraId="0D16F867">
      <w:pPr>
        <w:spacing w:line="500" w:lineRule="exact"/>
        <w:ind w:firstLine="482" w:firstLineChars="200"/>
        <w:jc w:val="left"/>
        <w:rPr>
          <w:rFonts w:hint="eastAsia" w:ascii="宋体" w:hAnsi="宋体"/>
          <w:b/>
          <w:color w:val="auto"/>
          <w:sz w:val="24"/>
          <w:highlight w:val="none"/>
        </w:rPr>
      </w:pPr>
      <w:r>
        <w:rPr>
          <w:rFonts w:hint="eastAsia" w:ascii="宋体" w:hAnsi="宋体"/>
          <w:b/>
          <w:color w:val="auto"/>
          <w:sz w:val="24"/>
          <w:highlight w:val="none"/>
        </w:rPr>
        <w:t>（一）技术资料：</w:t>
      </w:r>
      <w:r>
        <w:rPr>
          <w:rFonts w:hint="eastAsia" w:ascii="宋体" w:hAnsi="宋体"/>
          <w:color w:val="auto"/>
          <w:sz w:val="24"/>
          <w:highlight w:val="none"/>
          <w:u w:val="single"/>
        </w:rPr>
        <w:t xml:space="preserve">         </w:t>
      </w:r>
    </w:p>
    <w:p w14:paraId="1F5BA49A">
      <w:pPr>
        <w:spacing w:line="500" w:lineRule="exact"/>
        <w:ind w:firstLine="482" w:firstLineChars="200"/>
        <w:jc w:val="left"/>
        <w:rPr>
          <w:rFonts w:hint="eastAsia" w:ascii="宋体" w:hAnsi="宋体"/>
          <w:color w:val="auto"/>
          <w:sz w:val="24"/>
          <w:highlight w:val="none"/>
        </w:rPr>
      </w:pPr>
      <w:r>
        <w:rPr>
          <w:rFonts w:hint="eastAsia" w:ascii="宋体" w:hAnsi="宋体"/>
          <w:b/>
          <w:color w:val="auto"/>
          <w:sz w:val="24"/>
          <w:highlight w:val="none"/>
        </w:rPr>
        <w:t>（二）服务承诺：</w:t>
      </w:r>
      <w:r>
        <w:rPr>
          <w:rFonts w:hint="eastAsia" w:ascii="宋体" w:hAnsi="宋体"/>
          <w:color w:val="auto"/>
          <w:sz w:val="24"/>
          <w:highlight w:val="none"/>
          <w:u w:val="single"/>
        </w:rPr>
        <w:t xml:space="preserve">         </w:t>
      </w:r>
    </w:p>
    <w:p w14:paraId="26D78C18">
      <w:pPr>
        <w:spacing w:line="500" w:lineRule="exact"/>
        <w:ind w:firstLine="241"/>
        <w:jc w:val="left"/>
        <w:rPr>
          <w:rFonts w:hint="eastAsia" w:ascii="宋体" w:hAnsi="宋体"/>
          <w:b/>
          <w:color w:val="auto"/>
          <w:sz w:val="24"/>
          <w:highlight w:val="none"/>
        </w:rPr>
      </w:pPr>
      <w:r>
        <w:rPr>
          <w:rFonts w:hint="eastAsia" w:ascii="宋体" w:hAnsi="宋体"/>
          <w:b/>
          <w:color w:val="auto"/>
          <w:sz w:val="24"/>
          <w:highlight w:val="none"/>
        </w:rPr>
        <w:t>十</w:t>
      </w:r>
      <w:r>
        <w:rPr>
          <w:rFonts w:hint="eastAsia" w:ascii="宋体" w:hAnsi="宋体"/>
          <w:b/>
          <w:color w:val="auto"/>
          <w:sz w:val="24"/>
          <w:highlight w:val="none"/>
          <w:lang w:val="en-US" w:eastAsia="zh-CN"/>
        </w:rPr>
        <w:t>一</w:t>
      </w:r>
      <w:r>
        <w:rPr>
          <w:rFonts w:hint="eastAsia" w:ascii="宋体" w:hAnsi="宋体"/>
          <w:b/>
          <w:color w:val="auto"/>
          <w:sz w:val="24"/>
          <w:highlight w:val="none"/>
        </w:rPr>
        <w:t>、违约责任</w:t>
      </w:r>
    </w:p>
    <w:p w14:paraId="32AE2C1C">
      <w:pPr>
        <w:spacing w:line="50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（一）按《中华</w:t>
      </w:r>
      <w:r>
        <w:rPr>
          <w:rFonts w:ascii="宋体" w:hAnsi="宋体"/>
          <w:color w:val="auto"/>
          <w:sz w:val="24"/>
          <w:highlight w:val="none"/>
        </w:rPr>
        <w:t>人民共和国</w:t>
      </w:r>
      <w:r>
        <w:rPr>
          <w:rFonts w:hint="eastAsia" w:ascii="宋体" w:hAnsi="宋体"/>
          <w:color w:val="auto"/>
          <w:sz w:val="24"/>
          <w:highlight w:val="none"/>
        </w:rPr>
        <w:t>民法典》中的相关条款执行。</w:t>
      </w:r>
    </w:p>
    <w:p w14:paraId="2272352F">
      <w:pPr>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（二）未按合同要求的提供产品或</w:t>
      </w:r>
      <w:r>
        <w:rPr>
          <w:rFonts w:hint="eastAsia" w:ascii="宋体" w:hAnsi="宋体"/>
          <w:color w:val="auto"/>
          <w:sz w:val="24"/>
          <w:highlight w:val="none"/>
          <w:lang w:eastAsia="zh-CN"/>
        </w:rPr>
        <w:t>产品</w:t>
      </w:r>
      <w:r>
        <w:rPr>
          <w:rFonts w:hint="eastAsia" w:ascii="宋体" w:hAnsi="宋体"/>
          <w:color w:val="auto"/>
          <w:sz w:val="24"/>
          <w:highlight w:val="none"/>
        </w:rPr>
        <w:t>质量不能满足技术要求，采购人有权终止合同，甚至对供方违约行为进行追究。</w:t>
      </w:r>
    </w:p>
    <w:p w14:paraId="7C8F697C">
      <w:pPr>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（三）如有纠纷，双方友好协商解决，协商不成时可诉讼到甲方所在地人民法院解决。</w:t>
      </w:r>
    </w:p>
    <w:p w14:paraId="1BBD0B75">
      <w:pPr>
        <w:spacing w:line="500" w:lineRule="exact"/>
        <w:ind w:firstLine="241"/>
        <w:jc w:val="left"/>
        <w:rPr>
          <w:rFonts w:hint="eastAsia" w:ascii="宋体" w:hAnsi="宋体"/>
          <w:b/>
          <w:color w:val="auto"/>
          <w:sz w:val="24"/>
          <w:highlight w:val="none"/>
        </w:rPr>
      </w:pPr>
      <w:r>
        <w:rPr>
          <w:rFonts w:hint="eastAsia" w:ascii="宋体" w:hAnsi="宋体"/>
          <w:b/>
          <w:color w:val="auto"/>
          <w:sz w:val="24"/>
          <w:highlight w:val="none"/>
        </w:rPr>
        <w:t>十</w:t>
      </w:r>
      <w:r>
        <w:rPr>
          <w:rFonts w:hint="eastAsia" w:ascii="宋体" w:hAnsi="宋体"/>
          <w:b/>
          <w:color w:val="auto"/>
          <w:sz w:val="24"/>
          <w:highlight w:val="none"/>
          <w:lang w:val="en-US" w:eastAsia="zh-CN"/>
        </w:rPr>
        <w:t>二</w:t>
      </w:r>
      <w:r>
        <w:rPr>
          <w:rFonts w:hint="eastAsia" w:ascii="宋体" w:hAnsi="宋体"/>
          <w:b/>
          <w:color w:val="auto"/>
          <w:sz w:val="24"/>
          <w:highlight w:val="none"/>
        </w:rPr>
        <w:t>、验收</w:t>
      </w:r>
    </w:p>
    <w:p w14:paraId="56A26DA2">
      <w:pPr>
        <w:spacing w:line="50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货物送至采购方指定地点后，由采购方组织使用部门进行现场验收。验收须以合同、招标文件及投标文件、澄清、及国家相应的标准、规范等为依据。</w:t>
      </w:r>
    </w:p>
    <w:p w14:paraId="50C861D2">
      <w:pPr>
        <w:spacing w:line="500" w:lineRule="exact"/>
        <w:ind w:firstLine="241"/>
        <w:jc w:val="left"/>
        <w:rPr>
          <w:rFonts w:hint="eastAsia" w:ascii="宋体" w:hAnsi="宋体"/>
          <w:b/>
          <w:color w:val="auto"/>
          <w:sz w:val="24"/>
          <w:highlight w:val="none"/>
        </w:rPr>
      </w:pPr>
      <w:r>
        <w:rPr>
          <w:rFonts w:hint="eastAsia" w:ascii="宋体" w:hAnsi="宋体"/>
          <w:b/>
          <w:color w:val="auto"/>
          <w:sz w:val="24"/>
          <w:highlight w:val="none"/>
        </w:rPr>
        <w:t>十</w:t>
      </w:r>
      <w:r>
        <w:rPr>
          <w:rFonts w:hint="eastAsia" w:ascii="宋体" w:hAnsi="宋体"/>
          <w:b/>
          <w:color w:val="auto"/>
          <w:sz w:val="24"/>
          <w:highlight w:val="none"/>
          <w:lang w:val="en-US" w:eastAsia="zh-CN"/>
        </w:rPr>
        <w:t>三</w:t>
      </w:r>
      <w:r>
        <w:rPr>
          <w:rFonts w:hint="eastAsia" w:ascii="宋体" w:hAnsi="宋体"/>
          <w:b/>
          <w:color w:val="auto"/>
          <w:sz w:val="24"/>
          <w:highlight w:val="none"/>
        </w:rPr>
        <w:t>、其他事项</w:t>
      </w:r>
    </w:p>
    <w:p w14:paraId="1FCCF0AB">
      <w:pPr>
        <w:spacing w:line="50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（一）采购人在合同的履行期间以及履行期后，可以随时检查项目的执行情况，对采购标准、采购内容进行调查核实，并对发现的问题进行处理。</w:t>
      </w:r>
    </w:p>
    <w:p w14:paraId="2C780CF3">
      <w:pPr>
        <w:spacing w:line="50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（二）本合同一式六份，甲方</w:t>
      </w:r>
      <w:r>
        <w:rPr>
          <w:rFonts w:hint="eastAsia" w:ascii="宋体" w:hAnsi="宋体"/>
          <w:color w:val="auto"/>
          <w:sz w:val="24"/>
          <w:highlight w:val="none"/>
          <w:u w:val="single"/>
        </w:rPr>
        <w:t xml:space="preserve">         </w:t>
      </w:r>
      <w:r>
        <w:rPr>
          <w:rFonts w:hint="eastAsia" w:ascii="宋体" w:hAnsi="宋体"/>
          <w:color w:val="auto"/>
          <w:sz w:val="24"/>
          <w:highlight w:val="none"/>
        </w:rPr>
        <w:t>四份，乙方</w:t>
      </w:r>
      <w:r>
        <w:rPr>
          <w:rFonts w:hint="eastAsia" w:ascii="宋体" w:hAnsi="宋体"/>
          <w:color w:val="auto"/>
          <w:sz w:val="24"/>
          <w:highlight w:val="none"/>
          <w:u w:val="single"/>
        </w:rPr>
        <w:t xml:space="preserve">              </w:t>
      </w:r>
      <w:r>
        <w:rPr>
          <w:rFonts w:hint="eastAsia" w:ascii="宋体" w:hAnsi="宋体"/>
          <w:color w:val="auto"/>
          <w:sz w:val="24"/>
          <w:highlight w:val="none"/>
        </w:rPr>
        <w:t>一份，采购代理机构一份，甲乙双方签字盖章后生效。</w:t>
      </w:r>
    </w:p>
    <w:p w14:paraId="6F13E187">
      <w:pPr>
        <w:spacing w:line="50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（三）招标文件、投标</w:t>
      </w:r>
      <w:r>
        <w:rPr>
          <w:rFonts w:ascii="宋体" w:hAnsi="宋体"/>
          <w:color w:val="auto"/>
          <w:sz w:val="24"/>
          <w:highlight w:val="none"/>
        </w:rPr>
        <w:t>文件</w:t>
      </w:r>
      <w:r>
        <w:rPr>
          <w:rFonts w:hint="eastAsia" w:ascii="宋体" w:hAnsi="宋体"/>
          <w:bCs/>
          <w:color w:val="auto"/>
          <w:sz w:val="24"/>
          <w:highlight w:val="none"/>
        </w:rPr>
        <w:t>也是合同的组成部分，合同中未约定的以</w:t>
      </w:r>
      <w:r>
        <w:rPr>
          <w:rFonts w:hint="eastAsia" w:ascii="宋体" w:hAnsi="宋体"/>
          <w:color w:val="auto"/>
          <w:sz w:val="24"/>
          <w:highlight w:val="none"/>
        </w:rPr>
        <w:t>招标文件、</w:t>
      </w:r>
      <w:r>
        <w:rPr>
          <w:rFonts w:ascii="宋体" w:hAnsi="宋体"/>
          <w:color w:val="auto"/>
          <w:sz w:val="24"/>
          <w:highlight w:val="none"/>
        </w:rPr>
        <w:t>响应文件</w:t>
      </w:r>
      <w:r>
        <w:rPr>
          <w:rFonts w:hint="eastAsia" w:ascii="宋体" w:hAnsi="宋体"/>
          <w:bCs/>
          <w:color w:val="auto"/>
          <w:sz w:val="24"/>
          <w:highlight w:val="none"/>
        </w:rPr>
        <w:t xml:space="preserve">为准。 </w:t>
      </w:r>
    </w:p>
    <w:p w14:paraId="19E024CC">
      <w:pPr>
        <w:spacing w:line="500" w:lineRule="exact"/>
        <w:ind w:firstLine="600" w:firstLineChars="250"/>
        <w:jc w:val="left"/>
        <w:rPr>
          <w:rFonts w:hint="eastAsia" w:ascii="宋体" w:hAnsi="宋体"/>
          <w:color w:val="auto"/>
          <w:sz w:val="24"/>
          <w:highlight w:val="none"/>
        </w:rPr>
      </w:pPr>
      <w:r>
        <w:rPr>
          <w:rFonts w:hint="eastAsia" w:ascii="宋体" w:hAnsi="宋体"/>
          <w:color w:val="auto"/>
          <w:sz w:val="24"/>
          <w:highlight w:val="none"/>
        </w:rPr>
        <w:t xml:space="preserve">合同签订地点：   </w:t>
      </w:r>
    </w:p>
    <w:p w14:paraId="3BC470D8">
      <w:pPr>
        <w:spacing w:line="500" w:lineRule="exact"/>
        <w:ind w:firstLine="600" w:firstLineChars="250"/>
        <w:jc w:val="left"/>
        <w:rPr>
          <w:rFonts w:hint="eastAsia" w:ascii="宋体" w:hAnsi="宋体"/>
          <w:color w:val="auto"/>
          <w:sz w:val="24"/>
          <w:highlight w:val="none"/>
        </w:rPr>
      </w:pPr>
      <w:r>
        <w:rPr>
          <w:rFonts w:hint="eastAsia" w:ascii="宋体" w:hAnsi="宋体"/>
          <w:color w:val="auto"/>
          <w:sz w:val="24"/>
          <w:highlight w:val="none"/>
        </w:rPr>
        <w:t>合同签订时间：    年   月    日</w:t>
      </w:r>
    </w:p>
    <w:p w14:paraId="07403734">
      <w:pPr>
        <w:spacing w:line="500" w:lineRule="exact"/>
        <w:jc w:val="left"/>
        <w:rPr>
          <w:rFonts w:hint="eastAsia" w:ascii="宋体" w:hAnsi="宋体"/>
          <w:color w:val="auto"/>
          <w:sz w:val="24"/>
          <w:highlight w:val="none"/>
        </w:rPr>
      </w:pPr>
    </w:p>
    <w:p w14:paraId="39912F4F">
      <w:pPr>
        <w:spacing w:line="500" w:lineRule="exact"/>
        <w:jc w:val="left"/>
        <w:rPr>
          <w:rFonts w:hint="eastAsia" w:ascii="宋体" w:hAnsi="宋体"/>
          <w:color w:val="auto"/>
          <w:sz w:val="24"/>
          <w:highlight w:val="none"/>
        </w:rPr>
      </w:pPr>
      <w:r>
        <w:rPr>
          <w:rFonts w:hint="eastAsia" w:ascii="宋体" w:hAnsi="宋体"/>
          <w:color w:val="auto"/>
          <w:sz w:val="24"/>
          <w:highlight w:val="none"/>
        </w:rPr>
        <w:t>甲    方                           乙    方</w:t>
      </w:r>
    </w:p>
    <w:p w14:paraId="372F9C43">
      <w:pPr>
        <w:spacing w:line="500" w:lineRule="exact"/>
        <w:jc w:val="left"/>
        <w:rPr>
          <w:rFonts w:hint="eastAsia" w:ascii="宋体" w:hAnsi="宋体"/>
          <w:color w:val="auto"/>
          <w:sz w:val="24"/>
          <w:highlight w:val="none"/>
        </w:rPr>
      </w:pPr>
      <w:r>
        <w:rPr>
          <w:rFonts w:hint="eastAsia" w:ascii="宋体" w:hAnsi="宋体"/>
          <w:color w:val="auto"/>
          <w:sz w:val="24"/>
          <w:highlight w:val="none"/>
        </w:rPr>
        <w:t xml:space="preserve">单位名称：         </w:t>
      </w:r>
      <w:r>
        <w:rPr>
          <w:color w:val="auto"/>
          <w:highlight w:val="none"/>
        </w:rPr>
        <w:tab/>
      </w:r>
      <w:r>
        <w:rPr>
          <w:color w:val="auto"/>
          <w:highlight w:val="none"/>
        </w:rPr>
        <w:tab/>
      </w:r>
      <w:r>
        <w:rPr>
          <w:color w:val="auto"/>
          <w:highlight w:val="none"/>
        </w:rPr>
        <w:tab/>
      </w:r>
      <w:r>
        <w:rPr>
          <w:color w:val="auto"/>
          <w:highlight w:val="none"/>
        </w:rPr>
        <w:tab/>
      </w:r>
      <w:r>
        <w:rPr>
          <w:rFonts w:hint="eastAsia" w:ascii="宋体" w:hAnsi="宋体"/>
          <w:color w:val="auto"/>
          <w:sz w:val="24"/>
          <w:highlight w:val="none"/>
        </w:rPr>
        <w:t xml:space="preserve">   单位名称：</w:t>
      </w:r>
    </w:p>
    <w:p w14:paraId="19160B9A">
      <w:pPr>
        <w:spacing w:line="500" w:lineRule="exact"/>
        <w:jc w:val="left"/>
        <w:rPr>
          <w:rFonts w:hint="eastAsia" w:ascii="宋体" w:hAnsi="宋体"/>
          <w:color w:val="auto"/>
          <w:sz w:val="24"/>
          <w:highlight w:val="none"/>
        </w:rPr>
      </w:pPr>
      <w:r>
        <w:rPr>
          <w:rFonts w:hint="eastAsia" w:ascii="宋体" w:hAnsi="宋体"/>
          <w:color w:val="auto"/>
          <w:sz w:val="24"/>
          <w:highlight w:val="none"/>
        </w:rPr>
        <w:t xml:space="preserve">地    址：  </w:t>
      </w:r>
      <w:r>
        <w:rPr>
          <w:color w:val="auto"/>
          <w:highlight w:val="none"/>
        </w:rPr>
        <w:tab/>
      </w:r>
      <w:r>
        <w:rPr>
          <w:rFonts w:hint="eastAsia" w:ascii="宋体" w:hAnsi="宋体"/>
          <w:color w:val="auto"/>
          <w:sz w:val="24"/>
          <w:highlight w:val="none"/>
        </w:rPr>
        <w:t xml:space="preserve">       </w:t>
      </w:r>
      <w:r>
        <w:rPr>
          <w:color w:val="auto"/>
          <w:highlight w:val="none"/>
        </w:rPr>
        <w:tab/>
      </w:r>
      <w:r>
        <w:rPr>
          <w:color w:val="auto"/>
          <w:highlight w:val="none"/>
        </w:rPr>
        <w:tab/>
      </w:r>
      <w:r>
        <w:rPr>
          <w:color w:val="auto"/>
          <w:highlight w:val="none"/>
        </w:rPr>
        <w:tab/>
      </w:r>
      <w:r>
        <w:rPr>
          <w:rFonts w:hint="eastAsia"/>
          <w:color w:val="auto"/>
          <w:highlight w:val="none"/>
        </w:rPr>
        <w:t xml:space="preserve">    </w:t>
      </w:r>
      <w:r>
        <w:rPr>
          <w:rFonts w:hint="eastAsia" w:ascii="宋体" w:hAnsi="宋体"/>
          <w:color w:val="auto"/>
          <w:sz w:val="24"/>
          <w:highlight w:val="none"/>
        </w:rPr>
        <w:t>地    址：</w:t>
      </w:r>
    </w:p>
    <w:p w14:paraId="26B3C3D0">
      <w:pPr>
        <w:spacing w:line="500" w:lineRule="exact"/>
        <w:jc w:val="left"/>
        <w:rPr>
          <w:rFonts w:hint="eastAsia" w:ascii="宋体" w:hAnsi="宋体"/>
          <w:color w:val="auto"/>
          <w:sz w:val="24"/>
          <w:highlight w:val="none"/>
        </w:rPr>
      </w:pPr>
    </w:p>
    <w:p w14:paraId="673AFC43">
      <w:pPr>
        <w:spacing w:line="500" w:lineRule="exact"/>
        <w:jc w:val="left"/>
        <w:rPr>
          <w:rFonts w:hint="eastAsia" w:ascii="宋体" w:hAnsi="宋体"/>
          <w:color w:val="auto"/>
          <w:sz w:val="24"/>
          <w:highlight w:val="none"/>
        </w:rPr>
      </w:pPr>
      <w:r>
        <w:rPr>
          <w:rFonts w:hint="eastAsia" w:ascii="宋体" w:hAnsi="宋体"/>
          <w:color w:val="auto"/>
          <w:sz w:val="24"/>
          <w:highlight w:val="none"/>
        </w:rPr>
        <w:t>法定代表人：                       法定代表人：</w:t>
      </w:r>
    </w:p>
    <w:p w14:paraId="51D08D4F">
      <w:pPr>
        <w:spacing w:line="500" w:lineRule="exact"/>
        <w:jc w:val="left"/>
        <w:rPr>
          <w:rFonts w:hint="eastAsia" w:ascii="宋体" w:hAnsi="宋体"/>
          <w:color w:val="auto"/>
          <w:sz w:val="24"/>
          <w:highlight w:val="none"/>
        </w:rPr>
      </w:pPr>
    </w:p>
    <w:p w14:paraId="7C22F8EC">
      <w:pPr>
        <w:spacing w:line="500" w:lineRule="exact"/>
        <w:jc w:val="left"/>
        <w:rPr>
          <w:rFonts w:hint="eastAsia" w:ascii="宋体" w:hAnsi="宋体"/>
          <w:color w:val="auto"/>
          <w:sz w:val="24"/>
          <w:highlight w:val="none"/>
        </w:rPr>
      </w:pPr>
      <w:r>
        <w:rPr>
          <w:rFonts w:hint="eastAsia" w:ascii="宋体" w:hAnsi="宋体"/>
          <w:color w:val="auto"/>
          <w:sz w:val="24"/>
          <w:highlight w:val="none"/>
        </w:rPr>
        <w:t xml:space="preserve">联系电话：               </w:t>
      </w:r>
      <w:r>
        <w:rPr>
          <w:color w:val="auto"/>
          <w:highlight w:val="none"/>
        </w:rPr>
        <w:tab/>
      </w:r>
      <w:r>
        <w:rPr>
          <w:color w:val="auto"/>
          <w:highlight w:val="none"/>
        </w:rPr>
        <w:tab/>
      </w:r>
      <w:r>
        <w:rPr>
          <w:color w:val="auto"/>
          <w:highlight w:val="none"/>
        </w:rPr>
        <w:tab/>
      </w:r>
      <w:r>
        <w:rPr>
          <w:rFonts w:hint="eastAsia" w:ascii="宋体" w:hAnsi="宋体"/>
          <w:color w:val="auto"/>
          <w:sz w:val="24"/>
          <w:highlight w:val="none"/>
        </w:rPr>
        <w:t>联系电话：</w:t>
      </w:r>
    </w:p>
    <w:p w14:paraId="019A251D">
      <w:pPr>
        <w:spacing w:line="500" w:lineRule="exact"/>
        <w:jc w:val="left"/>
        <w:rPr>
          <w:rFonts w:hint="eastAsia" w:ascii="宋体" w:hAnsi="宋体"/>
          <w:color w:val="auto"/>
          <w:sz w:val="24"/>
          <w:highlight w:val="none"/>
        </w:rPr>
      </w:pPr>
      <w:r>
        <w:rPr>
          <w:rFonts w:hint="eastAsia" w:ascii="宋体" w:hAnsi="宋体"/>
          <w:color w:val="auto"/>
          <w:sz w:val="24"/>
          <w:highlight w:val="none"/>
        </w:rPr>
        <w:t xml:space="preserve">开 户 行：         </w:t>
      </w:r>
      <w:r>
        <w:rPr>
          <w:color w:val="auto"/>
          <w:highlight w:val="none"/>
        </w:rPr>
        <w:tab/>
      </w:r>
      <w:r>
        <w:rPr>
          <w:color w:val="auto"/>
          <w:highlight w:val="none"/>
        </w:rPr>
        <w:tab/>
      </w:r>
      <w:r>
        <w:rPr>
          <w:color w:val="auto"/>
          <w:highlight w:val="none"/>
        </w:rPr>
        <w:tab/>
      </w:r>
      <w:r>
        <w:rPr>
          <w:color w:val="auto"/>
          <w:highlight w:val="none"/>
        </w:rPr>
        <w:tab/>
      </w:r>
      <w:r>
        <w:rPr>
          <w:color w:val="auto"/>
          <w:highlight w:val="none"/>
        </w:rPr>
        <w:tab/>
      </w:r>
      <w:r>
        <w:rPr>
          <w:rFonts w:hint="eastAsia" w:ascii="宋体" w:hAnsi="宋体"/>
          <w:color w:val="auto"/>
          <w:sz w:val="24"/>
          <w:highlight w:val="none"/>
        </w:rPr>
        <w:t>开 户 行：</w:t>
      </w:r>
    </w:p>
    <w:p w14:paraId="2AEFAB47">
      <w:pPr>
        <w:spacing w:line="500" w:lineRule="exact"/>
        <w:jc w:val="left"/>
        <w:rPr>
          <w:rFonts w:hint="eastAsia" w:ascii="宋体" w:hAnsi="宋体"/>
          <w:color w:val="auto"/>
          <w:sz w:val="24"/>
          <w:highlight w:val="none"/>
        </w:rPr>
      </w:pPr>
      <w:r>
        <w:rPr>
          <w:rFonts w:hint="eastAsia" w:ascii="宋体" w:hAnsi="宋体"/>
          <w:color w:val="auto"/>
          <w:sz w:val="24"/>
          <w:highlight w:val="none"/>
        </w:rPr>
        <w:t xml:space="preserve">账    号：             </w:t>
      </w:r>
      <w:r>
        <w:rPr>
          <w:color w:val="auto"/>
          <w:highlight w:val="none"/>
        </w:rPr>
        <w:tab/>
      </w:r>
      <w:r>
        <w:rPr>
          <w:color w:val="auto"/>
          <w:highlight w:val="none"/>
        </w:rPr>
        <w:tab/>
      </w:r>
      <w:r>
        <w:rPr>
          <w:color w:val="auto"/>
          <w:highlight w:val="none"/>
        </w:rPr>
        <w:tab/>
      </w:r>
      <w:r>
        <w:rPr>
          <w:rFonts w:hint="eastAsia" w:ascii="宋体" w:hAnsi="宋体"/>
          <w:color w:val="auto"/>
          <w:sz w:val="24"/>
          <w:highlight w:val="none"/>
        </w:rPr>
        <w:t xml:space="preserve"> </w:t>
      </w:r>
      <w:r>
        <w:rPr>
          <w:color w:val="auto"/>
          <w:highlight w:val="none"/>
        </w:rPr>
        <w:tab/>
      </w:r>
      <w:r>
        <w:rPr>
          <w:rFonts w:hint="eastAsia" w:ascii="宋体" w:hAnsi="宋体"/>
          <w:color w:val="auto"/>
          <w:sz w:val="24"/>
          <w:highlight w:val="none"/>
        </w:rPr>
        <w:t>账    号：</w:t>
      </w:r>
    </w:p>
    <w:p w14:paraId="6A1B9624">
      <w:pPr>
        <w:pStyle w:val="2"/>
        <w:spacing w:line="500" w:lineRule="exact"/>
        <w:rPr>
          <w:rFonts w:hint="eastAsia"/>
          <w:bCs/>
          <w:color w:val="auto"/>
          <w:highlight w:val="none"/>
        </w:rPr>
      </w:pPr>
      <w:r>
        <w:rPr>
          <w:color w:val="auto"/>
          <w:highlight w:val="none"/>
        </w:rPr>
        <w:tab/>
      </w:r>
      <w:r>
        <w:rPr>
          <w:color w:val="auto"/>
          <w:highlight w:val="none"/>
        </w:rPr>
        <w:tab/>
      </w:r>
      <w:r>
        <w:rPr>
          <w:color w:val="auto"/>
          <w:highlight w:val="none"/>
        </w:rPr>
        <w:tab/>
      </w:r>
      <w:r>
        <w:rPr>
          <w:color w:val="auto"/>
          <w:highlight w:val="none"/>
        </w:rPr>
        <w:tab/>
      </w:r>
      <w:r>
        <w:rPr>
          <w:color w:val="auto"/>
          <w:highlight w:val="none"/>
        </w:rPr>
        <w:tab/>
      </w:r>
    </w:p>
    <w:p w14:paraId="7E0D5FD2">
      <w:pPr>
        <w:pStyle w:val="2"/>
        <w:rPr>
          <w:rFonts w:hint="eastAsia"/>
          <w:color w:val="auto"/>
          <w:highlight w:val="none"/>
        </w:rPr>
      </w:pPr>
      <w:r>
        <w:rPr>
          <w:color w:val="auto"/>
          <w:highlight w:val="none"/>
        </w:rPr>
        <w:br w:type="page"/>
      </w:r>
    </w:p>
    <w:p w14:paraId="6782A9D9">
      <w:pPr>
        <w:spacing w:line="360" w:lineRule="auto"/>
        <w:ind w:firstLine="241"/>
        <w:jc w:val="left"/>
        <w:rPr>
          <w:rFonts w:hint="eastAsia" w:ascii="宋体" w:hAnsi="宋体"/>
          <w:b/>
          <w:bCs/>
          <w:color w:val="auto"/>
          <w:sz w:val="24"/>
          <w:highlight w:val="none"/>
        </w:rPr>
      </w:pPr>
      <w:r>
        <w:rPr>
          <w:rFonts w:hint="eastAsia" w:ascii="宋体" w:hAnsi="宋体"/>
          <w:b/>
          <w:bCs/>
          <w:color w:val="auto"/>
          <w:sz w:val="24"/>
          <w:highlight w:val="none"/>
        </w:rPr>
        <w:t>附件1 采购内容</w:t>
      </w:r>
    </w:p>
    <w:tbl>
      <w:tblPr>
        <w:tblStyle w:val="3"/>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1224"/>
        <w:gridCol w:w="1224"/>
        <w:gridCol w:w="1225"/>
        <w:gridCol w:w="1224"/>
        <w:gridCol w:w="1224"/>
        <w:gridCol w:w="1225"/>
        <w:gridCol w:w="992"/>
      </w:tblGrid>
      <w:tr w14:paraId="387FE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729" w:type="dxa"/>
            <w:vAlign w:val="center"/>
          </w:tcPr>
          <w:p w14:paraId="5EE7A91C">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序号</w:t>
            </w:r>
          </w:p>
        </w:tc>
        <w:tc>
          <w:tcPr>
            <w:tcW w:w="1224" w:type="dxa"/>
            <w:vAlign w:val="center"/>
          </w:tcPr>
          <w:p w14:paraId="66584DCD">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产品名称</w:t>
            </w:r>
          </w:p>
        </w:tc>
        <w:tc>
          <w:tcPr>
            <w:tcW w:w="1224" w:type="dxa"/>
            <w:vAlign w:val="center"/>
          </w:tcPr>
          <w:p w14:paraId="0420E6B2">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lang w:val="en-US" w:eastAsia="zh-CN"/>
              </w:rPr>
              <w:t>规格</w:t>
            </w:r>
            <w:r>
              <w:rPr>
                <w:rFonts w:hint="eastAsia" w:ascii="宋体" w:hAnsi="宋体"/>
                <w:bCs/>
                <w:color w:val="auto"/>
                <w:sz w:val="24"/>
                <w:highlight w:val="none"/>
              </w:rPr>
              <w:t>型号</w:t>
            </w:r>
          </w:p>
        </w:tc>
        <w:tc>
          <w:tcPr>
            <w:tcW w:w="1225" w:type="dxa"/>
            <w:vAlign w:val="center"/>
          </w:tcPr>
          <w:p w14:paraId="7AEDBBB2">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产地</w:t>
            </w:r>
          </w:p>
        </w:tc>
        <w:tc>
          <w:tcPr>
            <w:tcW w:w="1224" w:type="dxa"/>
            <w:vAlign w:val="center"/>
          </w:tcPr>
          <w:p w14:paraId="7F481823">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生产厂家</w:t>
            </w:r>
          </w:p>
        </w:tc>
        <w:tc>
          <w:tcPr>
            <w:tcW w:w="1224" w:type="dxa"/>
            <w:vAlign w:val="center"/>
          </w:tcPr>
          <w:p w14:paraId="4FD09A33">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单位</w:t>
            </w:r>
          </w:p>
        </w:tc>
        <w:tc>
          <w:tcPr>
            <w:tcW w:w="1225" w:type="dxa"/>
            <w:vAlign w:val="center"/>
          </w:tcPr>
          <w:p w14:paraId="2BDE13E5">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单价</w:t>
            </w:r>
          </w:p>
          <w:p w14:paraId="41903B94">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（元）</w:t>
            </w:r>
          </w:p>
        </w:tc>
        <w:tc>
          <w:tcPr>
            <w:tcW w:w="992" w:type="dxa"/>
            <w:vAlign w:val="center"/>
          </w:tcPr>
          <w:p w14:paraId="57637096">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备注</w:t>
            </w:r>
          </w:p>
        </w:tc>
      </w:tr>
      <w:tr w14:paraId="6E23D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2FD944E5">
            <w:pPr>
              <w:spacing w:line="400" w:lineRule="exact"/>
              <w:jc w:val="center"/>
              <w:rPr>
                <w:rFonts w:hint="eastAsia" w:ascii="宋体" w:hAnsi="宋体"/>
                <w:bCs/>
                <w:color w:val="auto"/>
                <w:sz w:val="24"/>
                <w:highlight w:val="none"/>
              </w:rPr>
            </w:pPr>
          </w:p>
        </w:tc>
        <w:tc>
          <w:tcPr>
            <w:tcW w:w="1224" w:type="dxa"/>
            <w:vAlign w:val="center"/>
          </w:tcPr>
          <w:p w14:paraId="4144315C">
            <w:pPr>
              <w:spacing w:line="400" w:lineRule="exact"/>
              <w:jc w:val="center"/>
              <w:rPr>
                <w:rFonts w:hint="eastAsia" w:ascii="宋体" w:hAnsi="宋体"/>
                <w:bCs/>
                <w:color w:val="auto"/>
                <w:sz w:val="24"/>
                <w:highlight w:val="none"/>
              </w:rPr>
            </w:pPr>
          </w:p>
        </w:tc>
        <w:tc>
          <w:tcPr>
            <w:tcW w:w="1224" w:type="dxa"/>
            <w:vAlign w:val="center"/>
          </w:tcPr>
          <w:p w14:paraId="746BC8D3">
            <w:pPr>
              <w:spacing w:line="400" w:lineRule="exact"/>
              <w:jc w:val="center"/>
              <w:rPr>
                <w:rFonts w:hint="eastAsia" w:ascii="宋体" w:hAnsi="宋体"/>
                <w:bCs/>
                <w:color w:val="auto"/>
                <w:sz w:val="24"/>
                <w:highlight w:val="none"/>
              </w:rPr>
            </w:pPr>
          </w:p>
        </w:tc>
        <w:tc>
          <w:tcPr>
            <w:tcW w:w="1225" w:type="dxa"/>
            <w:vAlign w:val="center"/>
          </w:tcPr>
          <w:p w14:paraId="31A154EC">
            <w:pPr>
              <w:spacing w:line="400" w:lineRule="exact"/>
              <w:jc w:val="center"/>
              <w:rPr>
                <w:rFonts w:hint="eastAsia" w:ascii="宋体" w:hAnsi="宋体"/>
                <w:bCs/>
                <w:color w:val="auto"/>
                <w:sz w:val="24"/>
                <w:highlight w:val="none"/>
              </w:rPr>
            </w:pPr>
          </w:p>
        </w:tc>
        <w:tc>
          <w:tcPr>
            <w:tcW w:w="1224" w:type="dxa"/>
            <w:vAlign w:val="center"/>
          </w:tcPr>
          <w:p w14:paraId="20F29A91">
            <w:pPr>
              <w:spacing w:line="400" w:lineRule="exact"/>
              <w:jc w:val="center"/>
              <w:rPr>
                <w:rFonts w:hint="eastAsia" w:ascii="宋体" w:hAnsi="宋体"/>
                <w:bCs/>
                <w:color w:val="auto"/>
                <w:sz w:val="24"/>
                <w:highlight w:val="none"/>
              </w:rPr>
            </w:pPr>
          </w:p>
        </w:tc>
        <w:tc>
          <w:tcPr>
            <w:tcW w:w="1224" w:type="dxa"/>
            <w:vAlign w:val="center"/>
          </w:tcPr>
          <w:p w14:paraId="1CD35434">
            <w:pPr>
              <w:spacing w:line="400" w:lineRule="exact"/>
              <w:jc w:val="center"/>
              <w:rPr>
                <w:rFonts w:hint="eastAsia" w:ascii="宋体" w:hAnsi="宋体"/>
                <w:bCs/>
                <w:color w:val="auto"/>
                <w:sz w:val="24"/>
                <w:highlight w:val="none"/>
              </w:rPr>
            </w:pPr>
          </w:p>
        </w:tc>
        <w:tc>
          <w:tcPr>
            <w:tcW w:w="1225" w:type="dxa"/>
            <w:vAlign w:val="center"/>
          </w:tcPr>
          <w:p w14:paraId="6CED6D0B">
            <w:pPr>
              <w:spacing w:line="400" w:lineRule="exact"/>
              <w:jc w:val="center"/>
              <w:rPr>
                <w:rFonts w:hint="eastAsia" w:ascii="宋体" w:hAnsi="宋体"/>
                <w:bCs/>
                <w:color w:val="auto"/>
                <w:sz w:val="24"/>
                <w:highlight w:val="none"/>
              </w:rPr>
            </w:pPr>
          </w:p>
        </w:tc>
        <w:tc>
          <w:tcPr>
            <w:tcW w:w="992" w:type="dxa"/>
            <w:vAlign w:val="center"/>
          </w:tcPr>
          <w:p w14:paraId="6FAB1DD9">
            <w:pPr>
              <w:spacing w:line="400" w:lineRule="exact"/>
              <w:jc w:val="center"/>
              <w:rPr>
                <w:rFonts w:hint="eastAsia" w:ascii="宋体" w:hAnsi="宋体"/>
                <w:bCs/>
                <w:color w:val="auto"/>
                <w:sz w:val="24"/>
                <w:highlight w:val="none"/>
              </w:rPr>
            </w:pPr>
          </w:p>
        </w:tc>
      </w:tr>
      <w:tr w14:paraId="04E30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6B164345">
            <w:pPr>
              <w:spacing w:line="400" w:lineRule="exact"/>
              <w:jc w:val="center"/>
              <w:rPr>
                <w:rFonts w:hint="eastAsia" w:ascii="宋体" w:hAnsi="宋体"/>
                <w:bCs/>
                <w:color w:val="auto"/>
                <w:sz w:val="24"/>
                <w:highlight w:val="none"/>
              </w:rPr>
            </w:pPr>
          </w:p>
        </w:tc>
        <w:tc>
          <w:tcPr>
            <w:tcW w:w="1224" w:type="dxa"/>
            <w:vAlign w:val="center"/>
          </w:tcPr>
          <w:p w14:paraId="7CC9CA46">
            <w:pPr>
              <w:spacing w:line="400" w:lineRule="exact"/>
              <w:jc w:val="center"/>
              <w:rPr>
                <w:rFonts w:hint="eastAsia" w:ascii="宋体" w:hAnsi="宋体"/>
                <w:bCs/>
                <w:color w:val="auto"/>
                <w:sz w:val="24"/>
                <w:highlight w:val="none"/>
              </w:rPr>
            </w:pPr>
          </w:p>
        </w:tc>
        <w:tc>
          <w:tcPr>
            <w:tcW w:w="1224" w:type="dxa"/>
            <w:vAlign w:val="center"/>
          </w:tcPr>
          <w:p w14:paraId="0DBF9603">
            <w:pPr>
              <w:spacing w:line="400" w:lineRule="exact"/>
              <w:jc w:val="center"/>
              <w:rPr>
                <w:rFonts w:hint="eastAsia" w:ascii="宋体" w:hAnsi="宋体"/>
                <w:bCs/>
                <w:color w:val="auto"/>
                <w:sz w:val="24"/>
                <w:highlight w:val="none"/>
              </w:rPr>
            </w:pPr>
          </w:p>
        </w:tc>
        <w:tc>
          <w:tcPr>
            <w:tcW w:w="1225" w:type="dxa"/>
            <w:vAlign w:val="center"/>
          </w:tcPr>
          <w:p w14:paraId="3648F37A">
            <w:pPr>
              <w:spacing w:line="400" w:lineRule="exact"/>
              <w:jc w:val="center"/>
              <w:rPr>
                <w:rFonts w:hint="eastAsia" w:ascii="宋体" w:hAnsi="宋体"/>
                <w:bCs/>
                <w:color w:val="auto"/>
                <w:sz w:val="24"/>
                <w:highlight w:val="none"/>
              </w:rPr>
            </w:pPr>
          </w:p>
        </w:tc>
        <w:tc>
          <w:tcPr>
            <w:tcW w:w="1224" w:type="dxa"/>
            <w:vAlign w:val="center"/>
          </w:tcPr>
          <w:p w14:paraId="0BCBA557">
            <w:pPr>
              <w:spacing w:line="400" w:lineRule="exact"/>
              <w:jc w:val="center"/>
              <w:rPr>
                <w:rFonts w:hint="eastAsia" w:ascii="宋体" w:hAnsi="宋体"/>
                <w:bCs/>
                <w:color w:val="auto"/>
                <w:sz w:val="24"/>
                <w:highlight w:val="none"/>
              </w:rPr>
            </w:pPr>
          </w:p>
        </w:tc>
        <w:tc>
          <w:tcPr>
            <w:tcW w:w="1224" w:type="dxa"/>
            <w:vAlign w:val="center"/>
          </w:tcPr>
          <w:p w14:paraId="6220D110">
            <w:pPr>
              <w:spacing w:line="400" w:lineRule="exact"/>
              <w:jc w:val="center"/>
              <w:rPr>
                <w:rFonts w:hint="eastAsia" w:ascii="宋体" w:hAnsi="宋体"/>
                <w:bCs/>
                <w:color w:val="auto"/>
                <w:sz w:val="24"/>
                <w:highlight w:val="none"/>
              </w:rPr>
            </w:pPr>
          </w:p>
        </w:tc>
        <w:tc>
          <w:tcPr>
            <w:tcW w:w="1225" w:type="dxa"/>
            <w:vAlign w:val="center"/>
          </w:tcPr>
          <w:p w14:paraId="4E5674D7">
            <w:pPr>
              <w:spacing w:line="400" w:lineRule="exact"/>
              <w:jc w:val="center"/>
              <w:rPr>
                <w:rFonts w:hint="eastAsia" w:ascii="宋体" w:hAnsi="宋体"/>
                <w:bCs/>
                <w:color w:val="auto"/>
                <w:sz w:val="24"/>
                <w:highlight w:val="none"/>
              </w:rPr>
            </w:pPr>
          </w:p>
        </w:tc>
        <w:tc>
          <w:tcPr>
            <w:tcW w:w="992" w:type="dxa"/>
            <w:vAlign w:val="center"/>
          </w:tcPr>
          <w:p w14:paraId="23E2244C">
            <w:pPr>
              <w:spacing w:line="400" w:lineRule="exact"/>
              <w:jc w:val="center"/>
              <w:rPr>
                <w:rFonts w:hint="eastAsia" w:ascii="宋体" w:hAnsi="宋体"/>
                <w:bCs/>
                <w:color w:val="auto"/>
                <w:sz w:val="24"/>
                <w:highlight w:val="none"/>
              </w:rPr>
            </w:pPr>
          </w:p>
        </w:tc>
      </w:tr>
      <w:tr w14:paraId="6780B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25272663">
            <w:pPr>
              <w:spacing w:line="400" w:lineRule="exact"/>
              <w:jc w:val="center"/>
              <w:rPr>
                <w:rFonts w:hint="eastAsia" w:ascii="宋体" w:hAnsi="宋体"/>
                <w:bCs/>
                <w:color w:val="auto"/>
                <w:sz w:val="24"/>
                <w:highlight w:val="none"/>
              </w:rPr>
            </w:pPr>
          </w:p>
        </w:tc>
        <w:tc>
          <w:tcPr>
            <w:tcW w:w="1224" w:type="dxa"/>
            <w:vAlign w:val="center"/>
          </w:tcPr>
          <w:p w14:paraId="5066472B">
            <w:pPr>
              <w:spacing w:line="400" w:lineRule="exact"/>
              <w:jc w:val="center"/>
              <w:rPr>
                <w:rFonts w:hint="eastAsia" w:ascii="宋体" w:hAnsi="宋体"/>
                <w:bCs/>
                <w:color w:val="auto"/>
                <w:sz w:val="24"/>
                <w:highlight w:val="none"/>
              </w:rPr>
            </w:pPr>
          </w:p>
        </w:tc>
        <w:tc>
          <w:tcPr>
            <w:tcW w:w="1224" w:type="dxa"/>
            <w:vAlign w:val="center"/>
          </w:tcPr>
          <w:p w14:paraId="4249011E">
            <w:pPr>
              <w:spacing w:line="400" w:lineRule="exact"/>
              <w:jc w:val="center"/>
              <w:rPr>
                <w:rFonts w:hint="eastAsia" w:ascii="宋体" w:hAnsi="宋体"/>
                <w:bCs/>
                <w:color w:val="auto"/>
                <w:sz w:val="24"/>
                <w:highlight w:val="none"/>
              </w:rPr>
            </w:pPr>
          </w:p>
        </w:tc>
        <w:tc>
          <w:tcPr>
            <w:tcW w:w="1225" w:type="dxa"/>
            <w:vAlign w:val="center"/>
          </w:tcPr>
          <w:p w14:paraId="37CC6C53">
            <w:pPr>
              <w:spacing w:line="400" w:lineRule="exact"/>
              <w:jc w:val="center"/>
              <w:rPr>
                <w:rFonts w:hint="eastAsia" w:ascii="宋体" w:hAnsi="宋体"/>
                <w:bCs/>
                <w:color w:val="auto"/>
                <w:sz w:val="24"/>
                <w:highlight w:val="none"/>
              </w:rPr>
            </w:pPr>
          </w:p>
        </w:tc>
        <w:tc>
          <w:tcPr>
            <w:tcW w:w="1224" w:type="dxa"/>
            <w:vAlign w:val="center"/>
          </w:tcPr>
          <w:p w14:paraId="4DA4127A">
            <w:pPr>
              <w:spacing w:line="400" w:lineRule="exact"/>
              <w:jc w:val="center"/>
              <w:rPr>
                <w:rFonts w:hint="eastAsia" w:ascii="宋体" w:hAnsi="宋体"/>
                <w:bCs/>
                <w:color w:val="auto"/>
                <w:sz w:val="24"/>
                <w:highlight w:val="none"/>
              </w:rPr>
            </w:pPr>
          </w:p>
        </w:tc>
        <w:tc>
          <w:tcPr>
            <w:tcW w:w="1224" w:type="dxa"/>
            <w:vAlign w:val="center"/>
          </w:tcPr>
          <w:p w14:paraId="503B4CF4">
            <w:pPr>
              <w:spacing w:line="400" w:lineRule="exact"/>
              <w:jc w:val="center"/>
              <w:rPr>
                <w:rFonts w:hint="eastAsia" w:ascii="宋体" w:hAnsi="宋体"/>
                <w:bCs/>
                <w:color w:val="auto"/>
                <w:sz w:val="24"/>
                <w:highlight w:val="none"/>
              </w:rPr>
            </w:pPr>
          </w:p>
        </w:tc>
        <w:tc>
          <w:tcPr>
            <w:tcW w:w="1225" w:type="dxa"/>
            <w:vAlign w:val="center"/>
          </w:tcPr>
          <w:p w14:paraId="4F97F00A">
            <w:pPr>
              <w:spacing w:line="400" w:lineRule="exact"/>
              <w:jc w:val="center"/>
              <w:rPr>
                <w:rFonts w:hint="eastAsia" w:ascii="宋体" w:hAnsi="宋体"/>
                <w:bCs/>
                <w:color w:val="auto"/>
                <w:sz w:val="24"/>
                <w:highlight w:val="none"/>
              </w:rPr>
            </w:pPr>
          </w:p>
        </w:tc>
        <w:tc>
          <w:tcPr>
            <w:tcW w:w="992" w:type="dxa"/>
            <w:vAlign w:val="center"/>
          </w:tcPr>
          <w:p w14:paraId="1D88B63F">
            <w:pPr>
              <w:spacing w:line="400" w:lineRule="exact"/>
              <w:jc w:val="center"/>
              <w:rPr>
                <w:rFonts w:hint="eastAsia" w:ascii="宋体" w:hAnsi="宋体"/>
                <w:bCs/>
                <w:color w:val="auto"/>
                <w:sz w:val="24"/>
                <w:highlight w:val="none"/>
              </w:rPr>
            </w:pPr>
          </w:p>
        </w:tc>
      </w:tr>
      <w:tr w14:paraId="26E4E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1BD3A44B">
            <w:pPr>
              <w:spacing w:line="400" w:lineRule="exact"/>
              <w:jc w:val="center"/>
              <w:rPr>
                <w:rFonts w:hint="eastAsia" w:ascii="宋体" w:hAnsi="宋体"/>
                <w:bCs/>
                <w:color w:val="auto"/>
                <w:sz w:val="24"/>
                <w:highlight w:val="none"/>
              </w:rPr>
            </w:pPr>
          </w:p>
        </w:tc>
        <w:tc>
          <w:tcPr>
            <w:tcW w:w="1224" w:type="dxa"/>
            <w:vAlign w:val="center"/>
          </w:tcPr>
          <w:p w14:paraId="302A65A4">
            <w:pPr>
              <w:spacing w:line="400" w:lineRule="exact"/>
              <w:jc w:val="center"/>
              <w:rPr>
                <w:rFonts w:hint="eastAsia" w:ascii="宋体" w:hAnsi="宋体"/>
                <w:bCs/>
                <w:color w:val="auto"/>
                <w:sz w:val="24"/>
                <w:highlight w:val="none"/>
              </w:rPr>
            </w:pPr>
          </w:p>
        </w:tc>
        <w:tc>
          <w:tcPr>
            <w:tcW w:w="1224" w:type="dxa"/>
            <w:vAlign w:val="center"/>
          </w:tcPr>
          <w:p w14:paraId="6FF92C20">
            <w:pPr>
              <w:spacing w:line="400" w:lineRule="exact"/>
              <w:jc w:val="center"/>
              <w:rPr>
                <w:rFonts w:hint="eastAsia" w:ascii="宋体" w:hAnsi="宋体"/>
                <w:bCs/>
                <w:color w:val="auto"/>
                <w:sz w:val="24"/>
                <w:highlight w:val="none"/>
              </w:rPr>
            </w:pPr>
          </w:p>
        </w:tc>
        <w:tc>
          <w:tcPr>
            <w:tcW w:w="1225" w:type="dxa"/>
            <w:vAlign w:val="center"/>
          </w:tcPr>
          <w:p w14:paraId="1707041D">
            <w:pPr>
              <w:spacing w:line="400" w:lineRule="exact"/>
              <w:jc w:val="center"/>
              <w:rPr>
                <w:rFonts w:hint="eastAsia" w:ascii="宋体" w:hAnsi="宋体"/>
                <w:bCs/>
                <w:color w:val="auto"/>
                <w:sz w:val="24"/>
                <w:highlight w:val="none"/>
              </w:rPr>
            </w:pPr>
          </w:p>
        </w:tc>
        <w:tc>
          <w:tcPr>
            <w:tcW w:w="1224" w:type="dxa"/>
            <w:vAlign w:val="center"/>
          </w:tcPr>
          <w:p w14:paraId="30EC1BA6">
            <w:pPr>
              <w:spacing w:line="400" w:lineRule="exact"/>
              <w:jc w:val="center"/>
              <w:rPr>
                <w:rFonts w:hint="eastAsia" w:ascii="宋体" w:hAnsi="宋体"/>
                <w:bCs/>
                <w:color w:val="auto"/>
                <w:sz w:val="24"/>
                <w:highlight w:val="none"/>
              </w:rPr>
            </w:pPr>
          </w:p>
        </w:tc>
        <w:tc>
          <w:tcPr>
            <w:tcW w:w="1224" w:type="dxa"/>
            <w:vAlign w:val="center"/>
          </w:tcPr>
          <w:p w14:paraId="4CAADD65">
            <w:pPr>
              <w:spacing w:line="400" w:lineRule="exact"/>
              <w:jc w:val="center"/>
              <w:rPr>
                <w:rFonts w:hint="eastAsia" w:ascii="宋体" w:hAnsi="宋体"/>
                <w:bCs/>
                <w:color w:val="auto"/>
                <w:sz w:val="24"/>
                <w:highlight w:val="none"/>
              </w:rPr>
            </w:pPr>
          </w:p>
        </w:tc>
        <w:tc>
          <w:tcPr>
            <w:tcW w:w="1225" w:type="dxa"/>
            <w:vAlign w:val="center"/>
          </w:tcPr>
          <w:p w14:paraId="11F03727">
            <w:pPr>
              <w:spacing w:line="400" w:lineRule="exact"/>
              <w:jc w:val="center"/>
              <w:rPr>
                <w:rFonts w:hint="eastAsia" w:ascii="宋体" w:hAnsi="宋体"/>
                <w:bCs/>
                <w:color w:val="auto"/>
                <w:sz w:val="24"/>
                <w:highlight w:val="none"/>
              </w:rPr>
            </w:pPr>
          </w:p>
        </w:tc>
        <w:tc>
          <w:tcPr>
            <w:tcW w:w="992" w:type="dxa"/>
            <w:vAlign w:val="center"/>
          </w:tcPr>
          <w:p w14:paraId="44A409FD">
            <w:pPr>
              <w:spacing w:line="400" w:lineRule="exact"/>
              <w:jc w:val="center"/>
              <w:rPr>
                <w:rFonts w:hint="eastAsia" w:ascii="宋体" w:hAnsi="宋体"/>
                <w:bCs/>
                <w:color w:val="auto"/>
                <w:sz w:val="24"/>
                <w:highlight w:val="none"/>
              </w:rPr>
            </w:pPr>
          </w:p>
        </w:tc>
      </w:tr>
      <w:tr w14:paraId="34970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732C617F">
            <w:pPr>
              <w:spacing w:line="400" w:lineRule="exact"/>
              <w:jc w:val="center"/>
              <w:rPr>
                <w:rFonts w:hint="eastAsia" w:ascii="宋体" w:hAnsi="宋体"/>
                <w:bCs/>
                <w:color w:val="auto"/>
                <w:sz w:val="24"/>
                <w:highlight w:val="none"/>
              </w:rPr>
            </w:pPr>
          </w:p>
        </w:tc>
        <w:tc>
          <w:tcPr>
            <w:tcW w:w="1224" w:type="dxa"/>
            <w:vAlign w:val="center"/>
          </w:tcPr>
          <w:p w14:paraId="1C786E3B">
            <w:pPr>
              <w:spacing w:line="400" w:lineRule="exact"/>
              <w:jc w:val="center"/>
              <w:rPr>
                <w:rFonts w:hint="eastAsia" w:ascii="宋体" w:hAnsi="宋体"/>
                <w:bCs/>
                <w:color w:val="auto"/>
                <w:sz w:val="24"/>
                <w:highlight w:val="none"/>
              </w:rPr>
            </w:pPr>
          </w:p>
        </w:tc>
        <w:tc>
          <w:tcPr>
            <w:tcW w:w="1224" w:type="dxa"/>
            <w:vAlign w:val="center"/>
          </w:tcPr>
          <w:p w14:paraId="770D565B">
            <w:pPr>
              <w:spacing w:line="400" w:lineRule="exact"/>
              <w:jc w:val="center"/>
              <w:rPr>
                <w:rFonts w:hint="eastAsia" w:ascii="宋体" w:hAnsi="宋体"/>
                <w:bCs/>
                <w:color w:val="auto"/>
                <w:sz w:val="24"/>
                <w:highlight w:val="none"/>
              </w:rPr>
            </w:pPr>
          </w:p>
        </w:tc>
        <w:tc>
          <w:tcPr>
            <w:tcW w:w="1225" w:type="dxa"/>
            <w:vAlign w:val="center"/>
          </w:tcPr>
          <w:p w14:paraId="12C5BE03">
            <w:pPr>
              <w:spacing w:line="400" w:lineRule="exact"/>
              <w:jc w:val="center"/>
              <w:rPr>
                <w:rFonts w:hint="eastAsia" w:ascii="宋体" w:hAnsi="宋体"/>
                <w:bCs/>
                <w:color w:val="auto"/>
                <w:sz w:val="24"/>
                <w:highlight w:val="none"/>
              </w:rPr>
            </w:pPr>
          </w:p>
        </w:tc>
        <w:tc>
          <w:tcPr>
            <w:tcW w:w="1224" w:type="dxa"/>
            <w:vAlign w:val="center"/>
          </w:tcPr>
          <w:p w14:paraId="63ADD70C">
            <w:pPr>
              <w:spacing w:line="400" w:lineRule="exact"/>
              <w:jc w:val="center"/>
              <w:rPr>
                <w:rFonts w:hint="eastAsia" w:ascii="宋体" w:hAnsi="宋体"/>
                <w:bCs/>
                <w:color w:val="auto"/>
                <w:sz w:val="24"/>
                <w:highlight w:val="none"/>
              </w:rPr>
            </w:pPr>
          </w:p>
        </w:tc>
        <w:tc>
          <w:tcPr>
            <w:tcW w:w="1224" w:type="dxa"/>
            <w:vAlign w:val="center"/>
          </w:tcPr>
          <w:p w14:paraId="398A5B7A">
            <w:pPr>
              <w:spacing w:line="400" w:lineRule="exact"/>
              <w:jc w:val="center"/>
              <w:rPr>
                <w:rFonts w:hint="eastAsia" w:ascii="宋体" w:hAnsi="宋体"/>
                <w:bCs/>
                <w:color w:val="auto"/>
                <w:sz w:val="24"/>
                <w:highlight w:val="none"/>
              </w:rPr>
            </w:pPr>
          </w:p>
        </w:tc>
        <w:tc>
          <w:tcPr>
            <w:tcW w:w="1225" w:type="dxa"/>
            <w:vAlign w:val="center"/>
          </w:tcPr>
          <w:p w14:paraId="23CA19C5">
            <w:pPr>
              <w:spacing w:line="400" w:lineRule="exact"/>
              <w:jc w:val="center"/>
              <w:rPr>
                <w:rFonts w:hint="eastAsia" w:ascii="宋体" w:hAnsi="宋体"/>
                <w:bCs/>
                <w:color w:val="auto"/>
                <w:sz w:val="24"/>
                <w:highlight w:val="none"/>
              </w:rPr>
            </w:pPr>
          </w:p>
        </w:tc>
        <w:tc>
          <w:tcPr>
            <w:tcW w:w="992" w:type="dxa"/>
            <w:vAlign w:val="center"/>
          </w:tcPr>
          <w:p w14:paraId="49643907">
            <w:pPr>
              <w:spacing w:line="400" w:lineRule="exact"/>
              <w:jc w:val="center"/>
              <w:rPr>
                <w:rFonts w:hint="eastAsia" w:ascii="宋体" w:hAnsi="宋体"/>
                <w:bCs/>
                <w:color w:val="auto"/>
                <w:sz w:val="24"/>
                <w:highlight w:val="none"/>
              </w:rPr>
            </w:pPr>
          </w:p>
        </w:tc>
      </w:tr>
      <w:tr w14:paraId="0EE06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25365B75">
            <w:pPr>
              <w:spacing w:line="400" w:lineRule="exact"/>
              <w:jc w:val="center"/>
              <w:rPr>
                <w:rFonts w:hint="eastAsia" w:ascii="宋体" w:hAnsi="宋体"/>
                <w:bCs/>
                <w:color w:val="auto"/>
                <w:sz w:val="24"/>
                <w:highlight w:val="none"/>
              </w:rPr>
            </w:pPr>
          </w:p>
        </w:tc>
        <w:tc>
          <w:tcPr>
            <w:tcW w:w="1224" w:type="dxa"/>
            <w:vAlign w:val="center"/>
          </w:tcPr>
          <w:p w14:paraId="56282A5F">
            <w:pPr>
              <w:spacing w:line="400" w:lineRule="exact"/>
              <w:jc w:val="center"/>
              <w:rPr>
                <w:rFonts w:hint="eastAsia" w:ascii="宋体" w:hAnsi="宋体"/>
                <w:bCs/>
                <w:color w:val="auto"/>
                <w:sz w:val="24"/>
                <w:highlight w:val="none"/>
              </w:rPr>
            </w:pPr>
          </w:p>
        </w:tc>
        <w:tc>
          <w:tcPr>
            <w:tcW w:w="1224" w:type="dxa"/>
            <w:vAlign w:val="center"/>
          </w:tcPr>
          <w:p w14:paraId="0EE6AE82">
            <w:pPr>
              <w:spacing w:line="400" w:lineRule="exact"/>
              <w:jc w:val="center"/>
              <w:rPr>
                <w:rFonts w:hint="eastAsia" w:ascii="宋体" w:hAnsi="宋体"/>
                <w:bCs/>
                <w:color w:val="auto"/>
                <w:sz w:val="24"/>
                <w:highlight w:val="none"/>
              </w:rPr>
            </w:pPr>
          </w:p>
        </w:tc>
        <w:tc>
          <w:tcPr>
            <w:tcW w:w="1225" w:type="dxa"/>
            <w:vAlign w:val="center"/>
          </w:tcPr>
          <w:p w14:paraId="53433C90">
            <w:pPr>
              <w:spacing w:line="400" w:lineRule="exact"/>
              <w:jc w:val="center"/>
              <w:rPr>
                <w:rFonts w:hint="eastAsia" w:ascii="宋体" w:hAnsi="宋体"/>
                <w:bCs/>
                <w:color w:val="auto"/>
                <w:sz w:val="24"/>
                <w:highlight w:val="none"/>
              </w:rPr>
            </w:pPr>
          </w:p>
        </w:tc>
        <w:tc>
          <w:tcPr>
            <w:tcW w:w="1224" w:type="dxa"/>
            <w:vAlign w:val="center"/>
          </w:tcPr>
          <w:p w14:paraId="22713F68">
            <w:pPr>
              <w:spacing w:line="400" w:lineRule="exact"/>
              <w:jc w:val="center"/>
              <w:rPr>
                <w:rFonts w:hint="eastAsia" w:ascii="宋体" w:hAnsi="宋体"/>
                <w:bCs/>
                <w:color w:val="auto"/>
                <w:sz w:val="24"/>
                <w:highlight w:val="none"/>
              </w:rPr>
            </w:pPr>
          </w:p>
        </w:tc>
        <w:tc>
          <w:tcPr>
            <w:tcW w:w="1224" w:type="dxa"/>
            <w:vAlign w:val="center"/>
          </w:tcPr>
          <w:p w14:paraId="6B5083A3">
            <w:pPr>
              <w:spacing w:line="400" w:lineRule="exact"/>
              <w:jc w:val="center"/>
              <w:rPr>
                <w:rFonts w:hint="eastAsia" w:ascii="宋体" w:hAnsi="宋体"/>
                <w:bCs/>
                <w:color w:val="auto"/>
                <w:sz w:val="24"/>
                <w:highlight w:val="none"/>
              </w:rPr>
            </w:pPr>
          </w:p>
        </w:tc>
        <w:tc>
          <w:tcPr>
            <w:tcW w:w="1225" w:type="dxa"/>
            <w:vAlign w:val="center"/>
          </w:tcPr>
          <w:p w14:paraId="2B24F5AB">
            <w:pPr>
              <w:spacing w:line="400" w:lineRule="exact"/>
              <w:jc w:val="center"/>
              <w:rPr>
                <w:rFonts w:hint="eastAsia" w:ascii="宋体" w:hAnsi="宋体"/>
                <w:bCs/>
                <w:color w:val="auto"/>
                <w:sz w:val="24"/>
                <w:highlight w:val="none"/>
              </w:rPr>
            </w:pPr>
          </w:p>
        </w:tc>
        <w:tc>
          <w:tcPr>
            <w:tcW w:w="992" w:type="dxa"/>
            <w:vAlign w:val="center"/>
          </w:tcPr>
          <w:p w14:paraId="705EC4AB">
            <w:pPr>
              <w:spacing w:line="400" w:lineRule="exact"/>
              <w:jc w:val="center"/>
              <w:rPr>
                <w:rFonts w:hint="eastAsia" w:ascii="宋体" w:hAnsi="宋体"/>
                <w:bCs/>
                <w:color w:val="auto"/>
                <w:sz w:val="24"/>
                <w:highlight w:val="none"/>
              </w:rPr>
            </w:pPr>
          </w:p>
        </w:tc>
      </w:tr>
      <w:tr w14:paraId="4A193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067" w:type="dxa"/>
            <w:gridSpan w:val="8"/>
            <w:vAlign w:val="center"/>
          </w:tcPr>
          <w:p w14:paraId="549C312F">
            <w:pPr>
              <w:spacing w:line="400" w:lineRule="exact"/>
              <w:rPr>
                <w:rFonts w:hint="eastAsia" w:ascii="宋体" w:hAnsi="宋体"/>
                <w:bCs/>
                <w:color w:val="auto"/>
                <w:sz w:val="24"/>
                <w:highlight w:val="none"/>
              </w:rPr>
            </w:pPr>
            <w:r>
              <w:rPr>
                <w:rFonts w:hint="eastAsia" w:ascii="宋体" w:hAnsi="宋体"/>
                <w:bCs/>
                <w:color w:val="auto"/>
                <w:sz w:val="24"/>
                <w:highlight w:val="none"/>
              </w:rPr>
              <w:t>单价合计：</w:t>
            </w:r>
            <w:r>
              <w:rPr>
                <w:rFonts w:hint="eastAsia" w:ascii="宋体" w:hAnsi="宋体"/>
                <w:color w:val="auto"/>
                <w:sz w:val="24"/>
                <w:highlight w:val="none"/>
              </w:rPr>
              <w:t>人民币</w:t>
            </w:r>
            <w:r>
              <w:rPr>
                <w:rFonts w:hint="eastAsia" w:ascii="宋体" w:hAnsi="宋体"/>
                <w:color w:val="auto"/>
                <w:sz w:val="24"/>
                <w:highlight w:val="none"/>
                <w:u w:val="single"/>
              </w:rPr>
              <w:t xml:space="preserve">      </w:t>
            </w:r>
            <w:r>
              <w:rPr>
                <w:rFonts w:hint="eastAsia" w:ascii="宋体" w:hAnsi="宋体"/>
                <w:color w:val="auto"/>
                <w:sz w:val="24"/>
                <w:highlight w:val="none"/>
              </w:rPr>
              <w:t>元整（¥</w:t>
            </w:r>
            <w:r>
              <w:rPr>
                <w:rFonts w:hint="eastAsia" w:ascii="宋体" w:hAnsi="宋体"/>
                <w:color w:val="auto"/>
                <w:sz w:val="24"/>
                <w:highlight w:val="none"/>
                <w:u w:val="single"/>
              </w:rPr>
              <w:t xml:space="preserve">       </w:t>
            </w:r>
            <w:r>
              <w:rPr>
                <w:rFonts w:hint="eastAsia" w:ascii="宋体" w:hAnsi="宋体"/>
                <w:color w:val="auto"/>
                <w:sz w:val="24"/>
                <w:highlight w:val="none"/>
              </w:rPr>
              <w:t>元）</w:t>
            </w:r>
          </w:p>
        </w:tc>
      </w:tr>
    </w:tbl>
    <w:p w14:paraId="5875A6B5">
      <w:pPr>
        <w:spacing w:line="360" w:lineRule="auto"/>
        <w:ind w:firstLine="241"/>
        <w:jc w:val="left"/>
        <w:rPr>
          <w:rFonts w:hint="eastAsia" w:ascii="宋体" w:hAnsi="宋体"/>
          <w:b/>
          <w:bCs/>
          <w:color w:val="auto"/>
          <w:sz w:val="24"/>
          <w:highlight w:val="none"/>
        </w:rPr>
      </w:pPr>
    </w:p>
    <w:p w14:paraId="1B63DA9C">
      <w:pPr>
        <w:spacing w:line="360" w:lineRule="auto"/>
        <w:ind w:firstLine="241"/>
        <w:jc w:val="left"/>
        <w:rPr>
          <w:rFonts w:hint="eastAsia" w:ascii="宋体" w:hAnsi="宋体"/>
          <w:b/>
          <w:bCs/>
          <w:color w:val="auto"/>
          <w:sz w:val="24"/>
          <w:highlight w:val="none"/>
        </w:rPr>
      </w:pPr>
      <w:r>
        <w:rPr>
          <w:rFonts w:hint="eastAsia" w:ascii="宋体" w:hAnsi="宋体"/>
          <w:b/>
          <w:bCs/>
          <w:color w:val="auto"/>
          <w:sz w:val="24"/>
          <w:highlight w:val="none"/>
        </w:rPr>
        <w:t xml:space="preserve">附件2 </w:t>
      </w:r>
      <w:r>
        <w:rPr>
          <w:rFonts w:hint="eastAsia" w:ascii="宋体" w:hAnsi="宋体"/>
          <w:b/>
          <w:color w:val="auto"/>
          <w:sz w:val="24"/>
          <w:highlight w:val="none"/>
        </w:rPr>
        <w:t>技术规格及标准</w:t>
      </w:r>
    </w:p>
    <w:p w14:paraId="20D716D8">
      <w:pPr>
        <w:spacing w:line="360" w:lineRule="auto"/>
        <w:rPr>
          <w:rFonts w:hint="eastAsia" w:ascii="宋体" w:hAnsi="宋体"/>
          <w:bCs/>
          <w:color w:val="auto"/>
          <w:sz w:val="24"/>
          <w:highlight w:val="none"/>
        </w:rPr>
      </w:pPr>
    </w:p>
    <w:p w14:paraId="213C6D15">
      <w:pPr>
        <w:pStyle w:val="2"/>
        <w:spacing w:line="500" w:lineRule="exact"/>
        <w:ind w:firstLine="241"/>
        <w:rPr>
          <w:rFonts w:hint="eastAsia" w:eastAsiaTheme="minorEastAsia" w:cstheme="minorBidi"/>
          <w:b/>
          <w:bCs/>
          <w:color w:val="auto"/>
          <w:highlight w:val="none"/>
          <w:lang w:val="en-US" w:bidi="ar-SA"/>
        </w:rPr>
      </w:pPr>
      <w:r>
        <w:rPr>
          <w:rFonts w:hint="eastAsia" w:eastAsiaTheme="minorEastAsia" w:cstheme="minorBidi"/>
          <w:b/>
          <w:bCs/>
          <w:color w:val="auto"/>
          <w:highlight w:val="none"/>
          <w:lang w:val="en-US" w:bidi="ar-SA"/>
        </w:rPr>
        <w:t>附件3 配置清单</w:t>
      </w:r>
    </w:p>
    <w:p w14:paraId="4C450917">
      <w:pPr>
        <w:spacing w:before="156" w:beforeLines="50" w:line="360" w:lineRule="auto"/>
        <w:rPr>
          <w:rFonts w:hint="eastAsia" w:ascii="宋体" w:hAnsi="宋体"/>
          <w:b/>
          <w:bCs/>
          <w:color w:val="auto"/>
          <w:sz w:val="24"/>
          <w:highlight w:val="none"/>
        </w:rPr>
      </w:pPr>
    </w:p>
    <w:p w14:paraId="5E83D056">
      <w:bookmarkStart w:id="0" w:name="_GoBack"/>
      <w:bookmarkEnd w:id="0"/>
    </w:p>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F86008"/>
    <w:rsid w:val="0AF86008"/>
    <w:rsid w:val="31FC3A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 w:type="character" w:customStyle="1" w:styleId="6">
    <w:name w:val="NormalCharacter"/>
    <w:link w:val="7"/>
    <w:qFormat/>
    <w:uiPriority w:val="0"/>
    <w:rPr>
      <w:rFonts w:ascii="Times New Roman" w:hAnsi="Times New Roman" w:eastAsia="宋体" w:cs="Times New Roman"/>
    </w:rPr>
  </w:style>
  <w:style w:type="paragraph" w:customStyle="1" w:styleId="7">
    <w:name w:val="UserStyle_64"/>
    <w:basedOn w:val="1"/>
    <w:link w:val="6"/>
    <w:qFormat/>
    <w:uiPriority w:val="0"/>
    <w:pPr>
      <w:widowControl/>
      <w:textAlignment w:val="baseline"/>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1908</Words>
  <Characters>1920</Characters>
  <Lines>0</Lines>
  <Paragraphs>0</Paragraphs>
  <TotalTime>0</TotalTime>
  <ScaleCrop>false</ScaleCrop>
  <LinksUpToDate>false</LinksUpToDate>
  <CharactersWithSpaces>2235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2025-11-26T08:47:00Z</dcterms:created>
  <dc:creator>Aurora</dc:creator>
  <cp:lastModifiedBy>Aurora</cp:lastModifiedBy>
  <dcterms:modified xsi:type="dcterms:W3CDTF">2025-11-27T06:30:18Z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730AC46DE33F4BD6AC6EAF31A2DEC909_11</vt:lpwstr>
  </property>
  <property fmtid="{D5CDD505-2E9C-101B-9397-08002B2CF9AE}" pid="4" name="KSOTemplateDocerSaveRecord">
    <vt:lpwstr>eyJoZGlkIjoiMjFkZWJjZjdkYjI4NGFiYWJjNTI5ZmQzMDdiZTdjOTQiLCJ1c2VySWQiOiIzMjMxNzgwNTIifQ==</vt:lpwstr>
  </property>
</Properties>
</file>