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版本号：XHZB-25-082.1B120251127001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湿陷性黄土地区高速公路改扩建工程装配化桩板式结构建造成套技术研究(二次)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XHZB-25-082.1B1</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湿陷性黄土地区高速公路改扩建工程装配化桩板式结构建造成套技术研究(二次)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XHZB-25-082.1B1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湿陷性黄土地区高速公路改扩建工程装配化桩板式结构建造成套技术研究(二次)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湿陷性黄土地区高速公路改扩建工程装配化桩板式结构建造成套技术研究，具体详见采购需求。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5、书面声明1：提供具有履行本合同所必需的专业技术能力的书面声明</w:t>
      </w:r>
    </w:p>
    <w:p>
      <w:pPr>
        <w:pStyle w:val="null3"/>
      </w:pPr>
      <w:r>
        <w:rPr>
          <w:rFonts w:ascii="仿宋_GB2312" w:hAnsi="仿宋_GB2312" w:cs="仿宋_GB2312" w:eastAsia="仿宋_GB2312"/>
        </w:rPr>
        <w:t>6、书面声明2：参加本次政府采购活动前3年内在经营活动中没有重大违纪，以及未被列入失信被执行人、重大税收违法失信主体、政府采购严重违法失信行为记录名单的书面声明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9、供应商关联关系声明：①控股管理关系（不得与参加本项目的其他供应商单位负责人为同一人或者存在直接控股、管理关系），②未为本项目提供整体设计、规范编制或者 项目管理、监理、检测等服务</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18629509770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15332301932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的通知（计价格〔2002〕1980号）、《国家发展和改革委员会办公厅关于招标代理服务收费有关问题的通知》（发改办价格〔2003〕857号）规定，按照招标代理服务费收费标准98.5%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联系电话：15332301932</w:t>
      </w:r>
    </w:p>
    <w:p>
      <w:pPr>
        <w:pStyle w:val="null3"/>
      </w:pPr>
      <w:r>
        <w:rPr>
          <w:rFonts w:ascii="仿宋_GB2312" w:hAnsi="仿宋_GB2312" w:cs="仿宋_GB2312" w:eastAsia="仿宋_GB2312"/>
        </w:rPr>
        <w:t>地址：西安曲江新区雁塔南路金辉环球中心C座514室。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湿陷性黄土地区高速公路改扩建工程装配化桩板式结构建造成套技术研究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湿陷性黄土地区高速公路改扩建工程装配化桩板式结构建造成套技术研究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标的名称：湿陷性黄土地区高速公路改扩建工程装配化桩板式结构建造成套技术研究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 项目概况与背景</w:t>
            </w:r>
          </w:p>
          <w:p>
            <w:pPr>
              <w:pStyle w:val="null3"/>
              <w:jc w:val="both"/>
            </w:pPr>
            <w:r>
              <w:rPr>
                <w:rFonts w:ascii="仿宋_GB2312" w:hAnsi="仿宋_GB2312" w:cs="仿宋_GB2312" w:eastAsia="仿宋_GB2312"/>
                <w:sz w:val="21"/>
              </w:rPr>
              <w:t>1. 项目名称：湿陷性黄土地区高速公路改扩建工程装配化桩板式结构建造成套技术研究</w:t>
            </w:r>
          </w:p>
          <w:p>
            <w:pPr>
              <w:pStyle w:val="null3"/>
              <w:jc w:val="both"/>
            </w:pPr>
            <w:r>
              <w:rPr>
                <w:rFonts w:ascii="仿宋_GB2312" w:hAnsi="仿宋_GB2312" w:cs="仿宋_GB2312" w:eastAsia="仿宋_GB2312"/>
                <w:sz w:val="21"/>
              </w:rPr>
              <w:t>2. 立项背景与必要性：装配化桩板式结构可较好的应用在征地困难、工期紧张、交通量大的高速公路改扩建项目中。该结构的提出与应用的时间较短，只有少数的工程实例采用了此方案，理论研究滞后，参考与借鉴资料缺乏等问题都在很大程度上限制了桩板式结构的应用。桩板式结构具有很强的灵活性及适用性，不仅适用于高速公路改扩建项目中，作为一种结构也可以直接运用于新建项目中以应对深厚松软土地基、湿陷性黄土地基等不良地基，且在高填和软基路段中造价较一般路基具有一定的经济性优势。</w:t>
            </w:r>
          </w:p>
          <w:p>
            <w:pPr>
              <w:pStyle w:val="null3"/>
              <w:jc w:val="both"/>
            </w:pPr>
            <w:r>
              <w:rPr>
                <w:rFonts w:ascii="仿宋_GB2312" w:hAnsi="仿宋_GB2312" w:cs="仿宋_GB2312" w:eastAsia="仿宋_GB2312"/>
                <w:sz w:val="21"/>
              </w:rPr>
              <w:t>3. 研究目标与考核指标：</w:t>
            </w:r>
          </w:p>
          <w:p>
            <w:pPr>
              <w:pStyle w:val="null3"/>
              <w:jc w:val="both"/>
            </w:pPr>
            <w:r>
              <w:rPr>
                <w:rFonts w:ascii="仿宋_GB2312" w:hAnsi="仿宋_GB2312" w:cs="仿宋_GB2312" w:eastAsia="仿宋_GB2312"/>
                <w:sz w:val="21"/>
              </w:rPr>
              <w:t xml:space="preserve">    ·总体目标： 总结一套湿陷性黄土地区的桩板式路基设计与应用技术成果。</w:t>
            </w:r>
          </w:p>
          <w:p>
            <w:pPr>
              <w:pStyle w:val="null3"/>
              <w:jc w:val="both"/>
            </w:pPr>
            <w:r>
              <w:rPr>
                <w:rFonts w:ascii="仿宋_GB2312" w:hAnsi="仿宋_GB2312" w:cs="仿宋_GB2312" w:eastAsia="仿宋_GB2312"/>
                <w:sz w:val="21"/>
              </w:rPr>
              <w:t xml:space="preserve">    ·具体考核指标：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在中文核心及以上期刊发表论文，4篇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·形成湿陷性黄土地区桩板式结构横向拼接接缝工艺；</w:t>
            </w:r>
          </w:p>
          <w:p>
            <w:pPr>
              <w:pStyle w:val="null3"/>
              <w:jc w:val="both"/>
            </w:pPr>
            <w:r>
              <w:rPr>
                <w:rFonts w:ascii="仿宋_GB2312" w:hAnsi="仿宋_GB2312" w:cs="仿宋_GB2312" w:eastAsia="仿宋_GB2312"/>
                <w:sz w:val="21"/>
              </w:rPr>
              <w:t xml:space="preserve">     ·申请国家专利3项；</w:t>
            </w:r>
          </w:p>
          <w:p>
            <w:pPr>
              <w:pStyle w:val="null3"/>
              <w:jc w:val="both"/>
            </w:pPr>
            <w:r>
              <w:rPr>
                <w:rFonts w:ascii="仿宋_GB2312" w:hAnsi="仿宋_GB2312" w:cs="仿宋_GB2312" w:eastAsia="仿宋_GB2312"/>
                <w:sz w:val="21"/>
              </w:rPr>
              <w:t xml:space="preserve">     ·提出湿陷性黄土地区桩板式路基设计准则；</w:t>
            </w:r>
          </w:p>
          <w:p>
            <w:pPr>
              <w:pStyle w:val="null3"/>
              <w:jc w:val="both"/>
            </w:pPr>
            <w:r>
              <w:rPr>
                <w:rFonts w:ascii="仿宋_GB2312" w:hAnsi="仿宋_GB2312" w:cs="仿宋_GB2312" w:eastAsia="仿宋_GB2312"/>
                <w:sz w:val="21"/>
              </w:rPr>
              <w:t xml:space="preserve">     ·研究报告1份。</w:t>
            </w:r>
          </w:p>
          <w:p>
            <w:pPr>
              <w:pStyle w:val="null3"/>
              <w:jc w:val="both"/>
            </w:pPr>
            <w:r>
              <w:rPr>
                <w:rFonts w:ascii="仿宋_GB2312" w:hAnsi="仿宋_GB2312" w:cs="仿宋_GB2312" w:eastAsia="仿宋_GB2312"/>
                <w:sz w:val="21"/>
              </w:rPr>
              <w:t>二、 主要研究内容与技术要求</w:t>
            </w:r>
          </w:p>
          <w:p>
            <w:pPr>
              <w:pStyle w:val="null3"/>
              <w:jc w:val="both"/>
            </w:pPr>
            <w:r>
              <w:rPr>
                <w:rFonts w:ascii="仿宋_GB2312" w:hAnsi="仿宋_GB2312" w:cs="仿宋_GB2312" w:eastAsia="仿宋_GB2312"/>
                <w:sz w:val="21"/>
              </w:rPr>
              <w:t>1. 研究范畴界定：</w:t>
            </w:r>
          </w:p>
          <w:p>
            <w:pPr>
              <w:pStyle w:val="null3"/>
              <w:jc w:val="both"/>
            </w:pPr>
            <w:r>
              <w:rPr>
                <w:rFonts w:ascii="仿宋_GB2312" w:hAnsi="仿宋_GB2312" w:cs="仿宋_GB2312" w:eastAsia="仿宋_GB2312"/>
                <w:sz w:val="21"/>
              </w:rPr>
              <w:t xml:space="preserve">   · 解决梁板与路基连接处路基沉降、路面裂缝以及排水问题，总结出适合改扩建工程梁板与路基连接的设计方法；</w:t>
            </w:r>
          </w:p>
          <w:p>
            <w:pPr>
              <w:pStyle w:val="null3"/>
              <w:jc w:val="both"/>
            </w:pPr>
            <w:r>
              <w:rPr>
                <w:rFonts w:ascii="仿宋_GB2312" w:hAnsi="仿宋_GB2312" w:cs="仿宋_GB2312" w:eastAsia="仿宋_GB2312"/>
                <w:sz w:val="21"/>
              </w:rPr>
              <w:t xml:space="preserve">   ·根据桩板式路基结构性能研究总结出合理联长，确定适合于西永改扩建工程的梁板、管桩和桩板连接的设计；</w:t>
            </w:r>
          </w:p>
          <w:p>
            <w:pPr>
              <w:pStyle w:val="null3"/>
              <w:jc w:val="both"/>
            </w:pPr>
            <w:r>
              <w:rPr>
                <w:rFonts w:ascii="仿宋_GB2312" w:hAnsi="仿宋_GB2312" w:cs="仿宋_GB2312" w:eastAsia="仿宋_GB2312"/>
                <w:sz w:val="21"/>
              </w:rPr>
              <w:t xml:space="preserve">   ·通过对桩板式路基湿接缝受力性能分析，得出适合于应用项目的湿接缝连接形式；</w:t>
            </w:r>
          </w:p>
          <w:p>
            <w:pPr>
              <w:pStyle w:val="null3"/>
              <w:jc w:val="both"/>
            </w:pPr>
            <w:r>
              <w:rPr>
                <w:rFonts w:ascii="仿宋_GB2312" w:hAnsi="仿宋_GB2312" w:cs="仿宋_GB2312" w:eastAsia="仿宋_GB2312"/>
                <w:sz w:val="21"/>
              </w:rPr>
              <w:t xml:space="preserve">   ·研究桩板式路基在试验荷载作用下的实际工作状态，结合计算设计判断结构的实际使用状况；</w:t>
            </w:r>
          </w:p>
          <w:p>
            <w:pPr>
              <w:pStyle w:val="null3"/>
              <w:jc w:val="both"/>
            </w:pPr>
            <w:r>
              <w:rPr>
                <w:rFonts w:ascii="仿宋_GB2312" w:hAnsi="仿宋_GB2312" w:cs="仿宋_GB2312" w:eastAsia="仿宋_GB2312"/>
                <w:sz w:val="21"/>
              </w:rPr>
              <w:t xml:space="preserve">   ·解决湿陷性黄土地区管桩施工问题，优化管桩桩长减少工程造价；</w:t>
            </w:r>
          </w:p>
          <w:p>
            <w:pPr>
              <w:pStyle w:val="null3"/>
              <w:jc w:val="both"/>
            </w:pPr>
            <w:r>
              <w:rPr>
                <w:rFonts w:ascii="仿宋_GB2312" w:hAnsi="仿宋_GB2312" w:cs="仿宋_GB2312" w:eastAsia="仿宋_GB2312"/>
                <w:sz w:val="21"/>
              </w:rPr>
              <w:t>2. 关键技术攻关路线：通过开展解析理论研究、有限元仿真、试验分析，有力提升该类设计理论水平，为同类工程的设计和安全施工提供理论依据，具有较好的经济性；正确指导西永改扩建工程桩板式路基设计与施工，确保关键技术节点顺利开展，疑难问题突破性和风险规避等。</w:t>
            </w:r>
          </w:p>
          <w:p>
            <w:pPr>
              <w:pStyle w:val="null3"/>
              <w:jc w:val="both"/>
            </w:pPr>
            <w:r>
              <w:rPr>
                <w:rFonts w:ascii="仿宋_GB2312" w:hAnsi="仿宋_GB2312" w:cs="仿宋_GB2312" w:eastAsia="仿宋_GB2312"/>
                <w:sz w:val="21"/>
              </w:rPr>
              <w:t>3. 技术指标与性能要求：项目研究为西永改扩建湿陷性黄土地区的桩板式路基设计解决关键技术节点、有助于降低工程成本、提高工程质量。其次，研究成果的推广应用湿陷性黄土地区应用。</w:t>
            </w:r>
          </w:p>
          <w:p>
            <w:pPr>
              <w:pStyle w:val="null3"/>
              <w:jc w:val="both"/>
            </w:pPr>
            <w:r>
              <w:rPr>
                <w:rFonts w:ascii="仿宋_GB2312" w:hAnsi="仿宋_GB2312" w:cs="仿宋_GB2312" w:eastAsia="仿宋_GB2312"/>
                <w:sz w:val="21"/>
              </w:rPr>
              <w:t>三、 项目成果及交付物要求</w:t>
            </w:r>
          </w:p>
          <w:p>
            <w:pPr>
              <w:pStyle w:val="null3"/>
              <w:jc w:val="both"/>
            </w:pPr>
            <w:r>
              <w:rPr>
                <w:rFonts w:ascii="仿宋_GB2312" w:hAnsi="仿宋_GB2312" w:cs="仿宋_GB2312" w:eastAsia="仿宋_GB2312"/>
                <w:sz w:val="21"/>
              </w:rPr>
              <w:t>1. 有形交付物：</w:t>
            </w:r>
          </w:p>
          <w:p>
            <w:pPr>
              <w:pStyle w:val="null3"/>
              <w:jc w:val="both"/>
            </w:pPr>
            <w:r>
              <w:rPr>
                <w:rFonts w:ascii="仿宋_GB2312" w:hAnsi="仿宋_GB2312" w:cs="仿宋_GB2312" w:eastAsia="仿宋_GB2312"/>
                <w:sz w:val="21"/>
              </w:rPr>
              <w:t xml:space="preserve">   · 研究报告：立项报告、中期报告、结题总报告、技术报告等。</w:t>
            </w:r>
          </w:p>
          <w:p>
            <w:pPr>
              <w:pStyle w:val="null3"/>
              <w:jc w:val="both"/>
            </w:pPr>
            <w:r>
              <w:rPr>
                <w:rFonts w:ascii="仿宋_GB2312" w:hAnsi="仿宋_GB2312" w:cs="仿宋_GB2312" w:eastAsia="仿宋_GB2312"/>
                <w:sz w:val="21"/>
              </w:rPr>
              <w:t xml:space="preserve">   · 数据/数据库：实验数据集、分析报告、结构计算有限元模型等。</w:t>
            </w:r>
          </w:p>
          <w:p>
            <w:pPr>
              <w:pStyle w:val="null3"/>
              <w:jc w:val="both"/>
            </w:pPr>
            <w:r>
              <w:rPr>
                <w:rFonts w:ascii="仿宋_GB2312" w:hAnsi="仿宋_GB2312" w:cs="仿宋_GB2312" w:eastAsia="仿宋_GB2312"/>
                <w:sz w:val="21"/>
              </w:rPr>
              <w:t>2. 无形交付物：</w:t>
            </w:r>
          </w:p>
          <w:p>
            <w:pPr>
              <w:pStyle w:val="null3"/>
              <w:jc w:val="both"/>
            </w:pPr>
            <w:r>
              <w:rPr>
                <w:rFonts w:ascii="仿宋_GB2312" w:hAnsi="仿宋_GB2312" w:cs="仿宋_GB2312" w:eastAsia="仿宋_GB2312"/>
                <w:sz w:val="21"/>
              </w:rPr>
              <w:t xml:space="preserve">   · 知识产权：提交专利申请受理通知书或授权证书不少于3项，知识产权归属按合同约定。</w:t>
            </w:r>
          </w:p>
          <w:p>
            <w:pPr>
              <w:pStyle w:val="null3"/>
              <w:jc w:val="both"/>
            </w:pPr>
            <w:r>
              <w:rPr>
                <w:rFonts w:ascii="仿宋_GB2312" w:hAnsi="仿宋_GB2312" w:cs="仿宋_GB2312" w:eastAsia="仿宋_GB2312"/>
                <w:sz w:val="21"/>
              </w:rPr>
              <w:t xml:space="preserve">   · 论文著作：</w:t>
            </w:r>
            <w:r>
              <w:rPr>
                <w:rFonts w:ascii="仿宋_GB2312" w:hAnsi="仿宋_GB2312" w:cs="仿宋_GB2312" w:eastAsia="仿宋_GB2312"/>
                <w:sz w:val="21"/>
              </w:rPr>
              <w:t>在中文核心及以上期刊发表论文，4篇。</w:t>
            </w:r>
          </w:p>
          <w:p>
            <w:pPr>
              <w:pStyle w:val="null3"/>
              <w:jc w:val="both"/>
            </w:pPr>
            <w:r>
              <w:rPr>
                <w:rFonts w:ascii="仿宋_GB2312" w:hAnsi="仿宋_GB2312" w:cs="仿宋_GB2312" w:eastAsia="仿宋_GB2312"/>
                <w:sz w:val="21"/>
              </w:rPr>
              <w:t>四、 项目实施与管理要求</w:t>
            </w:r>
          </w:p>
          <w:p>
            <w:pPr>
              <w:pStyle w:val="null3"/>
              <w:jc w:val="both"/>
            </w:pPr>
            <w:r>
              <w:rPr>
                <w:rFonts w:ascii="仿宋_GB2312" w:hAnsi="仿宋_GB2312" w:cs="仿宋_GB2312" w:eastAsia="仿宋_GB2312"/>
                <w:sz w:val="21"/>
              </w:rPr>
              <w:t>1. 项目周期：</w:t>
            </w:r>
          </w:p>
          <w:p>
            <w:pPr>
              <w:pStyle w:val="null3"/>
              <w:jc w:val="both"/>
            </w:pPr>
            <w:r>
              <w:rPr>
                <w:rFonts w:ascii="仿宋_GB2312" w:hAnsi="仿宋_GB2312" w:cs="仿宋_GB2312" w:eastAsia="仿宋_GB2312"/>
                <w:sz w:val="21"/>
              </w:rPr>
              <w:t xml:space="preserve">   · 2025年12月至2028年1月</w:t>
            </w:r>
          </w:p>
          <w:p>
            <w:pPr>
              <w:pStyle w:val="null3"/>
              <w:jc w:val="both"/>
            </w:pPr>
            <w:r>
              <w:rPr>
                <w:rFonts w:ascii="仿宋_GB2312" w:hAnsi="仿宋_GB2312" w:cs="仿宋_GB2312" w:eastAsia="仿宋_GB2312"/>
                <w:sz w:val="21"/>
              </w:rPr>
              <w:t>2. 资源与条件保障：</w:t>
            </w:r>
          </w:p>
          <w:p>
            <w:pPr>
              <w:pStyle w:val="null3"/>
              <w:jc w:val="both"/>
            </w:pPr>
            <w:r>
              <w:rPr>
                <w:rFonts w:ascii="仿宋_GB2312" w:hAnsi="仿宋_GB2312" w:cs="仿宋_GB2312" w:eastAsia="仿宋_GB2312"/>
                <w:sz w:val="21"/>
              </w:rPr>
              <w:t xml:space="preserve">   · 本课题研究将配备 MIDAS/CIVIL、ANSYS、ABAQUS、桥梁博士等较多的有限元计算软件，为数据分析提供支持，高运行计算机与相关的试验装备。同时向知名高校进行合作开展相关实验工作。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满足本项目的实际需求。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满足本项目的实际需求。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乙方在为甲方提供服务过程中所产生的所有成果，其知识产权归甲方所有。未经甲方同意乙方不得给与本项目无关的第三方使用。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2025年12月至2028年1月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按照《陕西省交通运输厅科研项目管理办法》要求组织验收且符合相关规范要求。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合同签订生效，甲方在收到乙方履约保证金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乙方在为甲方提供服务过程中所产生的所有成果，其知识产权归甲方所有。未经甲方同意乙方不得给与本项目无关的第三方使用。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供应商资格证明</w:t>
            </w:r>
          </w:p>
        </w:tc>
        <w:tc>
          <w:tcPr>
            <w:tcW w:type="dxa" w:w="3322"/>
          </w:tcPr>
          <w:p>
            <w:pPr>
              <w:pStyle w:val="null3"/>
            </w:pPr>
            <w:r>
              <w:rPr>
                <w:rFonts w:ascii="仿宋_GB2312" w:hAnsi="仿宋_GB2312" w:cs="仿宋_GB2312" w:eastAsia="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响应函 其他.docx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法定代表人及授权委托书.docx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其他.docx 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响应函 其他.docx 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法定代表人及授权委托书.docx 中小企业声明函 报价表 项目服务方案.docx 其他.docx 资格证明资料.docx 响应文件封面 商务和服务响应说明.docx 分项报价表.docx 残疾人福利性单位声明函 标的清单 响应函 监狱企业的证明文件 类似项目汇总表.docx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项目成果质量保障</w:t>
            </w:r>
          </w:p>
        </w:tc>
        <w:tc>
          <w:tcPr>
            <w:tcW w:type="dxa" w:w="2492"/>
          </w:tcPr>
          <w:p>
            <w:pPr>
              <w:pStyle w:val="null3"/>
            </w:pPr>
            <w:r>
              <w:rPr>
                <w:rFonts w:ascii="仿宋_GB2312" w:hAnsi="仿宋_GB2312" w:cs="仿宋_GB2312" w:eastAsia="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供应商依据响应文件提供近三年（2022年1月至今）内的同类服务业绩（以合同复印件为准），每提供一份有效业绩得3分，本项最高得15分。提供相关证明文件复印件加盖公章。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类似项目汇总表.docx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详见附件：法定代表人及授权委托书.docx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详见附件：类似项目汇总表.docx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详见附件：商务和服务响应说明.docx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