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版本号：ZX2025-11-5420251208001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2026年度广告监测服务项目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ZX2025-11-54</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2026年度广告监测服务项目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ZX2025-11-54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2026年度广告监测服务项目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2026年度广告监测服务项目，1项，具体内容详见磋商文件第3章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采购包1（2026年度广告监测服务项目）：属于专门面向小微企业采购。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采购包1保证金金额：11,154.00元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2026年度广告监测服务项目。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2026年度广告监测服务项目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标的名称：2026年度广告监测服务项目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一、建设背景</w:t>
            </w:r>
          </w:p>
          <w:p>
            <w:pPr>
              <w:pStyle w:val="null3"/>
            </w:pPr>
            <w:r>
              <w:rPr>
                <w:rFonts w:ascii="仿宋_GB2312" w:hAnsi="仿宋_GB2312" w:cs="仿宋_GB2312" w:eastAsia="仿宋_GB2312"/>
              </w:rPr>
              <w:t>按照“三定”方案，省市场监管局（以下简称省局）承担着指导广告业发展、监督管理广告活动的职责。其中，组织开展广告监测是履行广告监管职能的重要手段。省局广告监测服务项目合同将于2025年12月31日到期，为保证省局广告监测工作顺利衔接不断档，需尽快启动采购招标工作。</w:t>
            </w:r>
          </w:p>
          <w:p>
            <w:pPr>
              <w:pStyle w:val="null3"/>
            </w:pPr>
            <w:r>
              <w:rPr>
                <w:rFonts w:ascii="仿宋_GB2312" w:hAnsi="仿宋_GB2312" w:cs="仿宋_GB2312" w:eastAsia="仿宋_GB2312"/>
              </w:rPr>
              <w:t>二、建设依据</w:t>
            </w:r>
          </w:p>
          <w:p>
            <w:pPr>
              <w:pStyle w:val="null3"/>
            </w:pPr>
            <w:r>
              <w:rPr>
                <w:rFonts w:ascii="仿宋_GB2312" w:hAnsi="仿宋_GB2312" w:cs="仿宋_GB2312" w:eastAsia="仿宋_GB2312"/>
              </w:rPr>
              <w:t>依据《中华人民共和国广告法》第四十九条“市场监督管理部门履行广告监督管理职责，可以行使下列职权：市场监督管理部门应当建立健全广告监测制度，完善监测措施，及时发现和依法查处违法广告行为。”</w:t>
            </w:r>
          </w:p>
          <w:p>
            <w:pPr>
              <w:pStyle w:val="null3"/>
            </w:pPr>
            <w:r>
              <w:rPr>
                <w:rFonts w:ascii="仿宋_GB2312" w:hAnsi="仿宋_GB2312" w:cs="仿宋_GB2312" w:eastAsia="仿宋_GB2312"/>
              </w:rPr>
              <w:t>三、建设目标</w:t>
            </w:r>
          </w:p>
          <w:p>
            <w:pPr>
              <w:pStyle w:val="null3"/>
            </w:pPr>
            <w:r>
              <w:rPr>
                <w:rFonts w:ascii="仿宋_GB2312" w:hAnsi="仿宋_GB2312" w:cs="仿宋_GB2312" w:eastAsia="仿宋_GB2312"/>
              </w:rPr>
              <w:t>依据《中华人民共和国广告法》等法律法规，监测、分析并保存全省省、市两级的广播、电视、报刊媒体和全省12个市(区)户外广告数据以及全省重点互联网媒介广告，发现涉嫌违法广告线索，提供广告监测报告，配合我省市场监管部门打击虚假违法广告，维护广告市场秩序。</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采取服务外包的方式由监测公司负责广告监测、平台开发、系统维护、数据保存、报表设计等。采集的广告数据要求真实完整，广告样本的识别率大于等于98%，涉嫌违法广告线索的识别率大于等于95%。涉嫌违法广告样本为当月切割版本。广告监测数据归甲方所有。监测公司应独立监测，随时接受甲方的复核审查；对在服务过程中获取的信息严格保密，建立健全信息安全管理制度，确保数据安全；建立完善的服务质量管理体系，具备保障服务高效、规范开展的制度与流程。服务期限为1年，各类广告原始素材2年内可随时查询、调用，除广告素材以外的其他相关记录数据，不受时间限制可以随时查询、调用。</w:t>
            </w:r>
          </w:p>
          <w:p>
            <w:pPr>
              <w:pStyle w:val="null3"/>
            </w:pPr>
            <w:r>
              <w:rPr>
                <w:rFonts w:ascii="仿宋_GB2312" w:hAnsi="仿宋_GB2312" w:cs="仿宋_GB2312" w:eastAsia="仿宋_GB2312"/>
              </w:rPr>
              <w:t>（一）传统媒体广告抽查监测要求</w:t>
            </w:r>
          </w:p>
          <w:p>
            <w:pPr>
              <w:pStyle w:val="null3"/>
            </w:pPr>
            <w:r>
              <w:rPr>
                <w:rFonts w:ascii="仿宋_GB2312" w:hAnsi="仿宋_GB2312" w:cs="仿宋_GB2312" w:eastAsia="仿宋_GB2312"/>
              </w:rPr>
              <w:t>监测全省范围内省、市两级广播、电视、报刊媒体（约100家）。广播、电视信号来源必须是广电系统的有线信号。对广播电视媒体按每月抽查监测15天，当月覆盖所有的频道和频率。对报刊媒体发布的广告进行抽查监测。</w:t>
            </w:r>
          </w:p>
          <w:p>
            <w:pPr>
              <w:pStyle w:val="null3"/>
            </w:pPr>
            <w:r>
              <w:rPr>
                <w:rFonts w:ascii="仿宋_GB2312" w:hAnsi="仿宋_GB2312" w:cs="仿宋_GB2312" w:eastAsia="仿宋_GB2312"/>
              </w:rPr>
              <w:t xml:space="preserve">    （二）户外广告抽查监测要求</w:t>
            </w:r>
          </w:p>
          <w:p>
            <w:pPr>
              <w:pStyle w:val="null3"/>
            </w:pPr>
            <w:r>
              <w:rPr>
                <w:rFonts w:ascii="仿宋_GB2312" w:hAnsi="仿宋_GB2312" w:cs="仿宋_GB2312" w:eastAsia="仿宋_GB2312"/>
              </w:rPr>
              <w:t>监测全省12个市区户外广告（西安市、宝鸡市、咸阳市、铜川市、渭南市、延安市、榆林市、汉中市、安康市、商洛市所辖各区(县)，以及韩城市、杨凌示范区）。每月对12个市区的主城区全面覆盖1次，每季度对全省区县覆盖1次；重点场景（公交、地铁、机场、火车站、楼宇、商业中心、城市干道）须按月覆盖，其他场景按季度覆盖；除专项监测以外，门店招牌及橱窗广告采集量不应超过总量的5%。全省按不少于4000条次/月进行监测。</w:t>
            </w:r>
          </w:p>
          <w:p>
            <w:pPr>
              <w:pStyle w:val="null3"/>
            </w:pPr>
            <w:r>
              <w:rPr>
                <w:rFonts w:ascii="仿宋_GB2312" w:hAnsi="仿宋_GB2312" w:cs="仿宋_GB2312" w:eastAsia="仿宋_GB2312"/>
              </w:rPr>
              <w:t>（三）互联网广告抽查监测要求</w:t>
            </w:r>
          </w:p>
          <w:p>
            <w:pPr>
              <w:pStyle w:val="null3"/>
            </w:pPr>
            <w:r>
              <w:rPr>
                <w:rFonts w:ascii="仿宋_GB2312" w:hAnsi="仿宋_GB2312" w:cs="仿宋_GB2312" w:eastAsia="仿宋_GB2312"/>
              </w:rPr>
              <w:t>搜索、采集注册地为陕西省范围的短视频账号、直播账号、微信公众号、电商账号、网站、移动端APP等（约2500个互联网媒介，其中短视频账号不少于500个，直播账号不少于500个）的广告数据。互联网媒介名单（互联网媒介名单可适时调整）可由监测公司给出建议，最终由甲方确定。互联网广告数据更新频次为每3-5个工作日完成1轮次更新。</w:t>
            </w:r>
          </w:p>
          <w:p>
            <w:pPr>
              <w:pStyle w:val="null3"/>
            </w:pPr>
            <w:r>
              <w:rPr>
                <w:rFonts w:ascii="仿宋_GB2312" w:hAnsi="仿宋_GB2312" w:cs="仿宋_GB2312" w:eastAsia="仿宋_GB2312"/>
              </w:rPr>
              <w:t>五、数据规范要求</w:t>
            </w:r>
          </w:p>
          <w:p>
            <w:pPr>
              <w:pStyle w:val="null3"/>
            </w:pPr>
            <w:r>
              <w:rPr>
                <w:rFonts w:ascii="仿宋_GB2312" w:hAnsi="仿宋_GB2312" w:cs="仿宋_GB2312" w:eastAsia="仿宋_GB2312"/>
              </w:rPr>
              <w:t>满足《广告监测数据规范》（DB61/T1923-2024）要求。</w:t>
            </w:r>
          </w:p>
          <w:p>
            <w:pPr>
              <w:pStyle w:val="null3"/>
            </w:pPr>
            <w:r>
              <w:rPr>
                <w:rFonts w:ascii="仿宋_GB2312" w:hAnsi="仿宋_GB2312" w:cs="仿宋_GB2312" w:eastAsia="仿宋_GB2312"/>
              </w:rPr>
              <w:t>六、平台功能</w:t>
            </w:r>
          </w:p>
          <w:p>
            <w:pPr>
              <w:pStyle w:val="null3"/>
            </w:pPr>
            <w:r>
              <w:rPr>
                <w:rFonts w:ascii="仿宋_GB2312" w:hAnsi="仿宋_GB2312" w:cs="仿宋_GB2312" w:eastAsia="仿宋_GB2312"/>
              </w:rPr>
              <w:t>平台功能划分为业务功能和系统功能。业务功能包含广告监测和数据分析。系统功能包含角色管理、用户管理和日志管理。</w:t>
            </w:r>
          </w:p>
          <w:p>
            <w:pPr>
              <w:pStyle w:val="null3"/>
            </w:pPr>
            <w:r>
              <w:rPr>
                <w:rFonts w:ascii="仿宋_GB2312" w:hAnsi="仿宋_GB2312" w:cs="仿宋_GB2312" w:eastAsia="仿宋_GB2312"/>
              </w:rPr>
              <w:t>（一）广告监测</w:t>
            </w:r>
          </w:p>
          <w:p>
            <w:pPr>
              <w:pStyle w:val="null3"/>
            </w:pPr>
            <w:r>
              <w:rPr>
                <w:rFonts w:ascii="仿宋_GB2312" w:hAnsi="仿宋_GB2312" w:cs="仿宋_GB2312" w:eastAsia="仿宋_GB2312"/>
              </w:rPr>
              <w:t>1.广告监测数据查看</w:t>
            </w:r>
          </w:p>
          <w:p>
            <w:pPr>
              <w:pStyle w:val="null3"/>
            </w:pPr>
            <w:r>
              <w:rPr>
                <w:rFonts w:ascii="仿宋_GB2312" w:hAnsi="仿宋_GB2312" w:cs="仿宋_GB2312" w:eastAsia="仿宋_GB2312"/>
              </w:rPr>
              <w:t>由监测公司负责提供涉及广播、电视、报刊、户外和互联网广告的数据，能实时查看监测到的涉嫌违法广告线索。</w:t>
            </w:r>
          </w:p>
          <w:p>
            <w:pPr>
              <w:pStyle w:val="null3"/>
            </w:pPr>
            <w:r>
              <w:rPr>
                <w:rFonts w:ascii="仿宋_GB2312" w:hAnsi="仿宋_GB2312" w:cs="仿宋_GB2312" w:eastAsia="仿宋_GB2312"/>
              </w:rPr>
              <w:t>2.查办处理</w:t>
            </w:r>
          </w:p>
          <w:p>
            <w:pPr>
              <w:pStyle w:val="null3"/>
            </w:pPr>
            <w:r>
              <w:rPr>
                <w:rFonts w:ascii="仿宋_GB2312" w:hAnsi="仿宋_GB2312" w:cs="仿宋_GB2312" w:eastAsia="仿宋_GB2312"/>
              </w:rPr>
              <w:t>一是处理结果上报。对涉嫌违法广告线索进行处理，处理方式支持停止发布、立案调查、处罚等多种处理方式，支持处理结果证据上传，证据附件支持 JPG和 PDF 等多种格式。二是处理结果查看。支持查看已处理广告线索情况，并对处理有误的广告线索，支持撤销处理。</w:t>
            </w:r>
          </w:p>
          <w:p>
            <w:pPr>
              <w:pStyle w:val="null3"/>
            </w:pPr>
            <w:r>
              <w:rPr>
                <w:rFonts w:ascii="仿宋_GB2312" w:hAnsi="仿宋_GB2312" w:cs="仿宋_GB2312" w:eastAsia="仿宋_GB2312"/>
              </w:rPr>
              <w:t>3.广告监测数据复核</w:t>
            </w:r>
          </w:p>
          <w:p>
            <w:pPr>
              <w:pStyle w:val="null3"/>
            </w:pPr>
            <w:r>
              <w:rPr>
                <w:rFonts w:ascii="仿宋_GB2312" w:hAnsi="仿宋_GB2312" w:cs="仿宋_GB2312" w:eastAsia="仿宋_GB2312"/>
              </w:rPr>
              <w:t>此模块实现对监测数据复核修改功能。市级局对监测公司提供的监测数据（如广告信息、违法判定等）准确性有疑义的，可提请数据复核申请，由省局最终审定。经复核处理的数据及上传的相关证据材料将继续保存在平台数据库，供随时检索查询。</w:t>
            </w:r>
          </w:p>
          <w:p>
            <w:pPr>
              <w:pStyle w:val="null3"/>
            </w:pPr>
            <w:r>
              <w:rPr>
                <w:rFonts w:ascii="仿宋_GB2312" w:hAnsi="仿宋_GB2312" w:cs="仿宋_GB2312" w:eastAsia="仿宋_GB2312"/>
              </w:rPr>
              <w:t>4.广告监测数据查询</w:t>
            </w:r>
          </w:p>
          <w:p>
            <w:pPr>
              <w:pStyle w:val="null3"/>
            </w:pPr>
            <w:r>
              <w:rPr>
                <w:rFonts w:ascii="仿宋_GB2312" w:hAnsi="仿宋_GB2312" w:cs="仿宋_GB2312" w:eastAsia="仿宋_GB2312"/>
              </w:rPr>
              <w:t>可按广告名称、广告类别、发布时间、违法类型等自定义条件，检索查询广告监测数据，并可针对查询出的数据进行明细信息查看。查询结果可按常规维度进行排序和汇总，并支持以DOC、EXCEL等格式下载导出。</w:t>
            </w:r>
          </w:p>
          <w:p>
            <w:pPr>
              <w:pStyle w:val="null3"/>
            </w:pPr>
            <w:r>
              <w:rPr>
                <w:rFonts w:ascii="仿宋_GB2312" w:hAnsi="仿宋_GB2312" w:cs="仿宋_GB2312" w:eastAsia="仿宋_GB2312"/>
              </w:rPr>
              <w:t>5.广告证据下载</w:t>
            </w:r>
          </w:p>
          <w:p>
            <w:pPr>
              <w:pStyle w:val="null3"/>
            </w:pPr>
            <w:r>
              <w:rPr>
                <w:rFonts w:ascii="仿宋_GB2312" w:hAnsi="仿宋_GB2312" w:cs="仿宋_GB2312" w:eastAsia="仿宋_GB2312"/>
              </w:rPr>
              <w:t>广播、电视广告分别以视频文件和音频文件的形式提供，报刊广告以扫描文件或拍照电子文件提供。户外广告以拍照或视频电子文件提供。互联网广告以图片、视频等电子文件提供。</w:t>
            </w:r>
          </w:p>
          <w:p>
            <w:pPr>
              <w:pStyle w:val="null3"/>
            </w:pPr>
            <w:r>
              <w:rPr>
                <w:rFonts w:ascii="仿宋_GB2312" w:hAnsi="仿宋_GB2312" w:cs="仿宋_GB2312" w:eastAsia="仿宋_GB2312"/>
              </w:rPr>
              <w:t>6.电子存取证</w:t>
            </w:r>
          </w:p>
          <w:p>
            <w:pPr>
              <w:pStyle w:val="null3"/>
            </w:pPr>
            <w:r>
              <w:rPr>
                <w:rFonts w:ascii="仿宋_GB2312" w:hAnsi="仿宋_GB2312" w:cs="仿宋_GB2312" w:eastAsia="仿宋_GB2312"/>
              </w:rPr>
              <w:t>可以满足对互联网广告的在线电子存证及取证需求。通过技术手段完成电子证据的固定和认证，使数据具有司法的有效性。监测公司提供的存取证产品支持对违法信息取证后进行云端上传，实现存储和全程在线化出证。出证产生的第三方费用不包含在本项目金额中。</w:t>
            </w:r>
          </w:p>
          <w:p>
            <w:pPr>
              <w:pStyle w:val="null3"/>
            </w:pPr>
            <w:r>
              <w:rPr>
                <w:rFonts w:ascii="仿宋_GB2312" w:hAnsi="仿宋_GB2312" w:cs="仿宋_GB2312" w:eastAsia="仿宋_GB2312"/>
              </w:rPr>
              <w:t>（二）数据分析</w:t>
            </w:r>
          </w:p>
          <w:p>
            <w:pPr>
              <w:pStyle w:val="null3"/>
            </w:pPr>
            <w:r>
              <w:rPr>
                <w:rFonts w:ascii="仿宋_GB2312" w:hAnsi="仿宋_GB2312" w:cs="仿宋_GB2312" w:eastAsia="仿宋_GB2312"/>
              </w:rPr>
              <w:t>通过对监测数据的整合，对各媒体、各区域、各时段等不同维度的数据进行挖掘，实现快速定制查询及相关报表服务。</w:t>
            </w:r>
          </w:p>
          <w:p>
            <w:pPr>
              <w:pStyle w:val="null3"/>
            </w:pPr>
            <w:r>
              <w:rPr>
                <w:rFonts w:ascii="仿宋_GB2312" w:hAnsi="仿宋_GB2312" w:cs="仿宋_GB2312" w:eastAsia="仿宋_GB2312"/>
              </w:rPr>
              <w:t>1.广告监测报告</w:t>
            </w:r>
          </w:p>
          <w:p>
            <w:pPr>
              <w:pStyle w:val="null3"/>
            </w:pPr>
            <w:r>
              <w:rPr>
                <w:rFonts w:ascii="仿宋_GB2312" w:hAnsi="仿宋_GB2312" w:cs="仿宋_GB2312" w:eastAsia="仿宋_GB2312"/>
              </w:rPr>
              <w:t>按报告周期/类型进行分别管理，可根据不同的报告形式、不同的分析维度、不同的报告周期定义标准化报告模板，系统按采购人提供的标准化格式自动生成月报、季报、半年报和年报，为媒体广告监督和通报广告发布情况提供依据。根据广告监管工作需要，临时交办广告监测任务，监测公司于监测任务完毕后24小时内提供监测报告。</w:t>
            </w:r>
          </w:p>
          <w:p>
            <w:pPr>
              <w:pStyle w:val="null3"/>
            </w:pPr>
            <w:r>
              <w:rPr>
                <w:rFonts w:ascii="仿宋_GB2312" w:hAnsi="仿宋_GB2312" w:cs="仿宋_GB2312" w:eastAsia="仿宋_GB2312"/>
              </w:rPr>
              <w:t>2.涉嫌违法广告监测情况汇总</w:t>
            </w:r>
          </w:p>
          <w:p>
            <w:pPr>
              <w:pStyle w:val="null3"/>
            </w:pPr>
            <w:r>
              <w:rPr>
                <w:rFonts w:ascii="仿宋_GB2312" w:hAnsi="仿宋_GB2312" w:cs="仿宋_GB2312" w:eastAsia="仿宋_GB2312"/>
              </w:rPr>
              <w:t>全省涉嫌违法广告监测情况汇总，按媒体、地域（市）、广告类别、涉嫌违法类型等维度对涉嫌违法广告进行统计分析，结果以数据、图表、文字等相结合的方式进行展示，并可实现数据与图表的导出使用。</w:t>
            </w:r>
          </w:p>
          <w:p>
            <w:pPr>
              <w:pStyle w:val="null3"/>
            </w:pPr>
            <w:r>
              <w:rPr>
                <w:rFonts w:ascii="仿宋_GB2312" w:hAnsi="仿宋_GB2312" w:cs="仿宋_GB2312" w:eastAsia="仿宋_GB2312"/>
              </w:rPr>
              <w:t>本级涉嫌违法广告监测情况汇总，数据统计维度同“全省涉嫌违法广告监测情况汇总”，但数据范围限定为本级（根据需要可包含下级单位）数据。</w:t>
            </w:r>
          </w:p>
          <w:p>
            <w:pPr>
              <w:pStyle w:val="null3"/>
            </w:pPr>
            <w:r>
              <w:rPr>
                <w:rFonts w:ascii="仿宋_GB2312" w:hAnsi="仿宋_GB2312" w:cs="仿宋_GB2312" w:eastAsia="仿宋_GB2312"/>
              </w:rPr>
              <w:t>涉嫌违法广告线索处置情况汇总，按照媒体排名、地域排名、广告类别排名，展示本辖区内涉嫌违法广告发布情况、广告线索的查看和处理情况。</w:t>
            </w:r>
          </w:p>
          <w:p>
            <w:pPr>
              <w:pStyle w:val="null3"/>
            </w:pPr>
            <w:r>
              <w:rPr>
                <w:rFonts w:ascii="仿宋_GB2312" w:hAnsi="仿宋_GB2312" w:cs="仿宋_GB2312" w:eastAsia="仿宋_GB2312"/>
              </w:rPr>
              <w:t>（三）工作日志管理</w:t>
            </w:r>
          </w:p>
          <w:p>
            <w:pPr>
              <w:pStyle w:val="null3"/>
            </w:pPr>
            <w:r>
              <w:rPr>
                <w:rFonts w:ascii="仿宋_GB2312" w:hAnsi="仿宋_GB2312" w:cs="仿宋_GB2312" w:eastAsia="仿宋_GB2312"/>
              </w:rPr>
              <w:t>登录后台进行关键操作时，自动记录相关操作日志。</w:t>
            </w:r>
          </w:p>
          <w:p>
            <w:pPr>
              <w:pStyle w:val="null3"/>
            </w:pPr>
            <w:r>
              <w:rPr>
                <w:rFonts w:ascii="仿宋_GB2312" w:hAnsi="仿宋_GB2312" w:cs="仿宋_GB2312" w:eastAsia="仿宋_GB2312"/>
              </w:rPr>
              <w:t>（四）用户管理</w:t>
            </w:r>
          </w:p>
          <w:p>
            <w:pPr>
              <w:pStyle w:val="null3"/>
            </w:pPr>
            <w:r>
              <w:rPr>
                <w:rFonts w:ascii="仿宋_GB2312" w:hAnsi="仿宋_GB2312" w:cs="仿宋_GB2312" w:eastAsia="仿宋_GB2312"/>
              </w:rPr>
              <w:t>用户分为省、市、县（区）三级用户，用户管理采用集中统一管理，逐层分解的方式，设定分层次的管理员，每层管理员负责管理各自所在层级的用户信息，上级管理员同时具有管理下级用户的权限。</w:t>
            </w:r>
          </w:p>
          <w:p>
            <w:pPr>
              <w:pStyle w:val="null3"/>
            </w:pPr>
            <w:r>
              <w:rPr>
                <w:rFonts w:ascii="仿宋_GB2312" w:hAnsi="仿宋_GB2312" w:cs="仿宋_GB2312" w:eastAsia="仿宋_GB2312"/>
              </w:rPr>
              <w:t>（五）角色管理</w:t>
            </w:r>
          </w:p>
          <w:p>
            <w:pPr>
              <w:pStyle w:val="null3"/>
            </w:pPr>
            <w:r>
              <w:rPr>
                <w:rFonts w:ascii="仿宋_GB2312" w:hAnsi="仿宋_GB2312" w:cs="仿宋_GB2312" w:eastAsia="仿宋_GB2312"/>
              </w:rPr>
              <w:t>从功能和级别上进行划分，并支持后期灵活配置。</w:t>
            </w:r>
          </w:p>
          <w:p>
            <w:pPr>
              <w:pStyle w:val="null3"/>
            </w:pPr>
            <w:r>
              <w:rPr>
                <w:rFonts w:ascii="仿宋_GB2312" w:hAnsi="仿宋_GB2312" w:cs="仿宋_GB2312" w:eastAsia="仿宋_GB2312"/>
              </w:rPr>
              <w:t>七、非功能性需求</w:t>
            </w:r>
          </w:p>
          <w:p>
            <w:pPr>
              <w:pStyle w:val="null3"/>
            </w:pPr>
            <w:r>
              <w:rPr>
                <w:rFonts w:ascii="仿宋_GB2312" w:hAnsi="仿宋_GB2312" w:cs="仿宋_GB2312" w:eastAsia="仿宋_GB2312"/>
              </w:rPr>
              <w:t>(一)性能要求</w:t>
            </w:r>
          </w:p>
          <w:p>
            <w:pPr>
              <w:pStyle w:val="null3"/>
            </w:pPr>
            <w:r>
              <w:rPr>
                <w:rFonts w:ascii="仿宋_GB2312" w:hAnsi="仿宋_GB2312" w:cs="仿宋_GB2312" w:eastAsia="仿宋_GB2312"/>
              </w:rPr>
              <w:t>数据处理能力：能大规模、高质量地处理问题，提供高速度、高效率、实时、及时的计算与信息处理能力。系统架构必须有一定的应付突发事故的能力以及具备足够的升级扩容空间来满足潜在的业务需求。</w:t>
            </w:r>
          </w:p>
          <w:p>
            <w:pPr>
              <w:pStyle w:val="null3"/>
            </w:pPr>
            <w:r>
              <w:rPr>
                <w:rFonts w:ascii="仿宋_GB2312" w:hAnsi="仿宋_GB2312" w:cs="仿宋_GB2312" w:eastAsia="仿宋_GB2312"/>
              </w:rPr>
              <w:t>（二）实施人员要求</w:t>
            </w:r>
          </w:p>
          <w:p>
            <w:pPr>
              <w:pStyle w:val="null3"/>
            </w:pPr>
            <w:r>
              <w:rPr>
                <w:rFonts w:ascii="仿宋_GB2312" w:hAnsi="仿宋_GB2312" w:cs="仿宋_GB2312" w:eastAsia="仿宋_GB2312"/>
              </w:rPr>
              <w:t>未经采购人同意，项目总负责人在项目结束前不得变更；供应商须有开发类似系统的项目实施经验；供应商须具有提供专业媒体广告监测数据服务的人员；参与此项目的骨干人员（项目经理、骨干技术人员）必须有过实际项目经验，供应商应提供项目组人员名单及主要人员的项目背景资料。</w:t>
            </w:r>
          </w:p>
          <w:p>
            <w:pPr>
              <w:pStyle w:val="null3"/>
            </w:pPr>
            <w:r>
              <w:rPr>
                <w:rFonts w:ascii="仿宋_GB2312" w:hAnsi="仿宋_GB2312" w:cs="仿宋_GB2312" w:eastAsia="仿宋_GB2312"/>
              </w:rPr>
              <w:t>（三）培训要求</w:t>
            </w:r>
          </w:p>
          <w:p>
            <w:pPr>
              <w:pStyle w:val="null3"/>
            </w:pPr>
            <w:r>
              <w:rPr>
                <w:rFonts w:ascii="仿宋_GB2312" w:hAnsi="仿宋_GB2312" w:cs="仿宋_GB2312" w:eastAsia="仿宋_GB2312"/>
              </w:rPr>
              <w:t>本项目在实施过程中，根据采购人及相关广告监管机关用户需要提供技术培训。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①质量标准，符合国家行业相关标准。②验收：根据磋商文件、成交供应商响应文件和合同文本执行。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根据按采购文件及合同文本执行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小微企业采购，供应商应为小型、微型企业或监狱企业或残疾人福利性单位。供应商为小型、微型企业的，提供《小微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小微企业声明函.docx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(1)磋商响应文件未按照磋商文件规定要求签署、盖章的；(2)不满足本磋商文件中“服务期限、服务地点、支付方式、支付约定”的实质性条款要求的；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13其他资料.docx 标的清单 报价表 商务部分偏离表.docx 小微企业声明函.docx 响应函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供应商针对项目理解清晰透彻，提供完整详细的服务方案，包括但不限于传统媒体广告抽查监测方案、户外广告抽查监测要求、互联网广告抽查监测要求。 1、完全满足采购需求，无瑕疵：16分； 2、方案内容存在1处瑕疵：14分； 3、方案内容存在2处瑕疵：12分； 4、方案内容存在3处瑕疵：10分； 5、方案内容存在4处瑕疵：8分； 6、方案内容存在5处瑕疵：6分； 7、方案内容存在6处瑕疵：4分； 8、方案内容存在7处瑕疵：2分； 9、未提供或内容存在8处及以上瑕疵：0分。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1整体服务方案.docx</w:t>
            </w:r>
          </w:p>
        </w:tc>
      </w:tr>
      <w:tr>
        <w:tc>
          <w:tcPr>
            <w:tcW w:type="dxa" w:w="831"/>
            <w:vMerge/>
          </w:tcPr>
          <w:p/>
        </w:tc>
        <w:tc>
          <w:tcPr>
            <w:tcW w:type="dxa" w:w="1661"/>
          </w:tcPr>
          <w:p>
            <w:pPr>
              <w:pStyle w:val="null3"/>
            </w:pPr>
            <w:r>
              <w:rPr>
                <w:rFonts w:ascii="仿宋_GB2312" w:hAnsi="仿宋_GB2312" w:cs="仿宋_GB2312" w:eastAsia="仿宋_GB2312"/>
              </w:rPr>
              <w:t>平台功能</w:t>
            </w:r>
          </w:p>
        </w:tc>
        <w:tc>
          <w:tcPr>
            <w:tcW w:type="dxa" w:w="2492"/>
          </w:tcPr>
          <w:p>
            <w:pPr>
              <w:pStyle w:val="null3"/>
            </w:pPr>
            <w:r>
              <w:rPr>
                <w:rFonts w:ascii="仿宋_GB2312" w:hAnsi="仿宋_GB2312" w:cs="仿宋_GB2312" w:eastAsia="仿宋_GB2312"/>
              </w:rPr>
              <w:t>平台功能完善，具有可扩展性，进行详细说明。 1、完全满足采购需求，无瑕疵：9分； 2、内容存在1处瑕疵：8分； 3、内容存在2处瑕疵：7分； 4、内容存在3处瑕疵：6分； 5、内容存在4处瑕疵：5分； 6、内容存在5处瑕疵：4分； 7、内容存在6处瑕疵：3分； 8、内容存在7处瑕疵：2分； 9、内容存在8处瑕疵：1分； 10、未提供或内容存在9处及以上瑕疵：0分。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2平台功能.docx</w:t>
            </w:r>
          </w:p>
        </w:tc>
      </w:tr>
      <w:tr>
        <w:tc>
          <w:tcPr>
            <w:tcW w:type="dxa" w:w="831"/>
            <w:vMerge/>
          </w:tcPr>
          <w:p/>
        </w:tc>
        <w:tc>
          <w:tcPr>
            <w:tcW w:type="dxa" w:w="1661"/>
          </w:tcPr>
          <w:p>
            <w:pPr>
              <w:pStyle w:val="null3"/>
            </w:pPr>
            <w:r>
              <w:rPr>
                <w:rFonts w:ascii="仿宋_GB2312" w:hAnsi="仿宋_GB2312" w:cs="仿宋_GB2312" w:eastAsia="仿宋_GB2312"/>
              </w:rPr>
              <w:t>数据处理</w:t>
            </w:r>
          </w:p>
        </w:tc>
        <w:tc>
          <w:tcPr>
            <w:tcW w:type="dxa" w:w="2492"/>
          </w:tcPr>
          <w:p>
            <w:pPr>
              <w:pStyle w:val="null3"/>
            </w:pPr>
            <w:r>
              <w:rPr>
                <w:rFonts w:ascii="仿宋_GB2312" w:hAnsi="仿宋_GB2312" w:cs="仿宋_GB2312" w:eastAsia="仿宋_GB2312"/>
              </w:rPr>
              <w:t>针对本项目有详细、具体、可行的数据处理方案。 1、完全满足采购需求，无瑕疵：6分； 2、方案内容存在1处瑕疵：5分； 3、方案内容存在2处瑕疵：4分； 4、方案内容存在3处瑕疵：3分； 5、方案内容存在4处瑕疵：2分； 6、方案内容存在5处瑕疵：1分； 7、未提供方案或内容存在6处及以上瑕疵：0分。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3数据处理.docx</w:t>
            </w:r>
          </w:p>
        </w:tc>
      </w:tr>
      <w:tr>
        <w:tc>
          <w:tcPr>
            <w:tcW w:type="dxa" w:w="831"/>
            <w:vMerge/>
          </w:tcPr>
          <w:p/>
        </w:tc>
        <w:tc>
          <w:tcPr>
            <w:tcW w:type="dxa" w:w="1661"/>
          </w:tcPr>
          <w:p>
            <w:pPr>
              <w:pStyle w:val="null3"/>
            </w:pPr>
            <w:r>
              <w:rPr>
                <w:rFonts w:ascii="仿宋_GB2312" w:hAnsi="仿宋_GB2312" w:cs="仿宋_GB2312" w:eastAsia="仿宋_GB2312"/>
              </w:rPr>
              <w:t>平台演示</w:t>
            </w:r>
          </w:p>
        </w:tc>
        <w:tc>
          <w:tcPr>
            <w:tcW w:type="dxa" w:w="2492"/>
          </w:tcPr>
          <w:p>
            <w:pPr>
              <w:pStyle w:val="null3"/>
            </w:pPr>
            <w:r>
              <w:rPr>
                <w:rFonts w:ascii="仿宋_GB2312" w:hAnsi="仿宋_GB2312" w:cs="仿宋_GB2312" w:eastAsia="仿宋_GB2312"/>
              </w:rPr>
              <w:t>1.“广告监测”模块演示：选取“广播、电视、报刊、户外和互联网广告”各一个样本，进行广告监测、查办处理、数据复核、数据查询、证据下载、电子存取证，每演示一个样本计1分，满分5分； 2.对“数据分析”“工作日志管理”“用户管理”“角色管理”模块演示,每演示一个模块计1分，满分4分。 演示说明： 演示载体：腾讯会议（会议号演示前通知）。演示时间：15分钟。 3.本次为系统平台演示，PPT、Demo等演示形式不得分。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13其他资料.docx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供应商对本项目有详细、具体、可行的质量保障方案。质量保证方案详尽合理，切实可行。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4质量保障措施.docx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针对本次项目实施过程中的重点、难点分析。重点、难点分析清晰合理，重点把控准确，难点解决思路明确，解决计划可行性强。 1、完全满足采购需求，无瑕疵：6分； 2、方案内容存在1处瑕疵：5分； 3、方案内容存在2处瑕疵：4分； 4、方案内容存在3处瑕疵：3分； 5、方案内容存在4处瑕疵：2分； 6、方案内容存在5处瑕疵：1分； 7、未提供方案或内容存在6处及以上瑕疵：0分。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5重难点分析.docx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供应商针对本项目有成熟应急预案体系和安全保障方案，针对培训过程中可能出现的突发状况制定完善的应急方案，保证出现突发事情时及时采取有效的应对措施。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供应商针对本项目采购需求提供实质性增值服务。 每提供一项经磋商小组一致认定对项目实施有实质性提升的增值服务计1分，满分3分。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7增值服务.docx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提供项目负责人详细的履历表、从业经验、相关证书等。 1、完全满足采购需求，无瑕疵：3分； 2、内容存在1处瑕疵：2分； 3、内容存在2处瑕疵：1分； 4、未提供或内容存在3处及以上瑕疵：0分。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8项目负责人.docx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针对本项目拟投入的人员团队（项目负责人除外），提供人员明细表（包括姓名、专业、从事与本项目相关的业绩情况、职称）并提供相关证明材料（包括学历证书、职称证或专业资格证书、业绩情况证明材料）。 1、能保障项目实施，无瑕疵：10分； 2、存在1处瑕疵：9分； 3、存在2处瑕疵：8分； 4、存在3处瑕疵：7分； 5、存在4处瑕疵：6分； 6、存在5处瑕疵：5分； 7、存在6处瑕疵：4分； 8、存在7处瑕疵：3分； 9、存在8处瑕疵：2分； 10、存在9处瑕疵：1分； 11、未提供或存在10处及以上瑕疵：0分。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供应商须根据采购人及相关广告监管机关用户需要提供技术培训，提供相关培训方案。 1、完全满足采购需求，无瑕疵：6分； 2、方案内容存在1处瑕疵：5分； 3、方案内容存在2处瑕疵：4分； 4、方案内容存在3处瑕疵：3分； 5、方案内容存在4处瑕疵：2分； 6、方案内容存在5处瑕疵：1分； 7、未提供方案或内容存在6处及以上瑕疵：0分。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供应商结合采购需求针对本项目提供合理化建议。每提供一项经磋商小组一致认定有利于项目实施的建议计1分，满分4分。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分项价格表.docx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详见附件：小微企业声明函.docx</w:t>
      </w:r>
    </w:p>
    <w:p>
      <w:pPr>
        <w:pStyle w:val="null3"/>
        <w:ind w:firstLine="960"/>
      </w:pPr>
      <w:r>
        <w:rPr>
          <w:rFonts w:ascii="仿宋_GB2312" w:hAnsi="仿宋_GB2312" w:cs="仿宋_GB2312" w:eastAsia="仿宋_GB2312"/>
        </w:rPr>
        <w:t>详见附件：1整体服务方案.docx</w:t>
      </w:r>
    </w:p>
    <w:p>
      <w:pPr>
        <w:pStyle w:val="null3"/>
        <w:ind w:firstLine="960"/>
      </w:pPr>
      <w:r>
        <w:rPr>
          <w:rFonts w:ascii="仿宋_GB2312" w:hAnsi="仿宋_GB2312" w:cs="仿宋_GB2312" w:eastAsia="仿宋_GB2312"/>
        </w:rPr>
        <w:t>详见附件：2平台功能.docx</w:t>
      </w:r>
    </w:p>
    <w:p>
      <w:pPr>
        <w:pStyle w:val="null3"/>
        <w:ind w:firstLine="960"/>
      </w:pPr>
      <w:r>
        <w:rPr>
          <w:rFonts w:ascii="仿宋_GB2312" w:hAnsi="仿宋_GB2312" w:cs="仿宋_GB2312" w:eastAsia="仿宋_GB2312"/>
        </w:rPr>
        <w:t>详见附件：3数据处理.docx</w:t>
      </w:r>
    </w:p>
    <w:p>
      <w:pPr>
        <w:pStyle w:val="null3"/>
        <w:ind w:firstLine="960"/>
      </w:pPr>
      <w:r>
        <w:rPr>
          <w:rFonts w:ascii="仿宋_GB2312" w:hAnsi="仿宋_GB2312" w:cs="仿宋_GB2312" w:eastAsia="仿宋_GB2312"/>
        </w:rPr>
        <w:t>详见附件：4质量保障措施.docx</w:t>
      </w:r>
    </w:p>
    <w:p>
      <w:pPr>
        <w:pStyle w:val="null3"/>
        <w:ind w:firstLine="960"/>
      </w:pPr>
      <w:r>
        <w:rPr>
          <w:rFonts w:ascii="仿宋_GB2312" w:hAnsi="仿宋_GB2312" w:cs="仿宋_GB2312" w:eastAsia="仿宋_GB2312"/>
        </w:rPr>
        <w:t>详见附件：5重难点分析.docx</w:t>
      </w:r>
    </w:p>
    <w:p>
      <w:pPr>
        <w:pStyle w:val="null3"/>
        <w:ind w:firstLine="960"/>
      </w:pPr>
      <w:r>
        <w:rPr>
          <w:rFonts w:ascii="仿宋_GB2312" w:hAnsi="仿宋_GB2312" w:cs="仿宋_GB2312" w:eastAsia="仿宋_GB2312"/>
        </w:rPr>
        <w:t>详见附件：6应急方案.docx</w:t>
      </w:r>
    </w:p>
    <w:p>
      <w:pPr>
        <w:pStyle w:val="null3"/>
        <w:ind w:firstLine="960"/>
      </w:pPr>
      <w:r>
        <w:rPr>
          <w:rFonts w:ascii="仿宋_GB2312" w:hAnsi="仿宋_GB2312" w:cs="仿宋_GB2312" w:eastAsia="仿宋_GB2312"/>
        </w:rPr>
        <w:t>详见附件：7增值服务.docx</w:t>
      </w:r>
    </w:p>
    <w:p>
      <w:pPr>
        <w:pStyle w:val="null3"/>
        <w:ind w:firstLine="960"/>
      </w:pPr>
      <w:r>
        <w:rPr>
          <w:rFonts w:ascii="仿宋_GB2312" w:hAnsi="仿宋_GB2312" w:cs="仿宋_GB2312" w:eastAsia="仿宋_GB2312"/>
        </w:rPr>
        <w:t>详见附件：8项目负责人.docx</w:t>
      </w:r>
    </w:p>
    <w:p>
      <w:pPr>
        <w:pStyle w:val="null3"/>
        <w:ind w:firstLine="960"/>
      </w:pPr>
      <w:r>
        <w:rPr>
          <w:rFonts w:ascii="仿宋_GB2312" w:hAnsi="仿宋_GB2312" w:cs="仿宋_GB2312" w:eastAsia="仿宋_GB2312"/>
        </w:rPr>
        <w:t>详见附件：9团队人员.docx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详见附件：11培训.docx</w:t>
      </w:r>
    </w:p>
    <w:p>
      <w:pPr>
        <w:pStyle w:val="null3"/>
        <w:ind w:firstLine="960"/>
      </w:pPr>
      <w:r>
        <w:rPr>
          <w:rFonts w:ascii="仿宋_GB2312" w:hAnsi="仿宋_GB2312" w:cs="仿宋_GB2312" w:eastAsia="仿宋_GB2312"/>
        </w:rPr>
        <w:t>详见附件：12合理化建议.docx</w:t>
      </w:r>
    </w:p>
    <w:p>
      <w:pPr>
        <w:pStyle w:val="null3"/>
        <w:ind w:firstLine="960"/>
      </w:pPr>
      <w:r>
        <w:rPr>
          <w:rFonts w:ascii="仿宋_GB2312" w:hAnsi="仿宋_GB2312" w:cs="仿宋_GB2312" w:eastAsia="仿宋_GB2312"/>
        </w:rPr>
        <w:t>详见附件：13其他资料.docx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