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版本号：SXHT-(GK)2025110720251127001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西安鼓乐传统乐社演出服装采购项目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SXHT-(GK)20251107</w:t>
      </w:r>
      <w:r>
        <w:br/>
      </w:r>
      <w:r>
        <w:br/>
      </w:r>
      <w:r>
        <w:br/>
      </w:r>
    </w:p>
    <w:p>
      <w:pPr>
        <w:pStyle w:val="null3"/>
        <w:jc w:val="center"/>
        <w:outlineLvl w:val="2"/>
      </w:pPr>
      <w:r>
        <w:rPr>
          <w:rFonts w:ascii="仿宋_GB2312" w:hAnsi="仿宋_GB2312" w:cs="仿宋_GB2312" w:eastAsia="仿宋_GB2312"/>
          <w:sz w:val="28"/>
          <w:b/>
        </w:rPr>
        <w:t>陕西省艺术研究院</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陕西省艺术研究院</w:t>
      </w:r>
      <w:r>
        <w:rPr>
          <w:rFonts w:ascii="仿宋_GB2312" w:hAnsi="仿宋_GB2312" w:cs="仿宋_GB2312" w:eastAsia="仿宋_GB2312"/>
        </w:rPr>
        <w:t>委托，拟对</w:t>
      </w:r>
      <w:r>
        <w:rPr>
          <w:rFonts w:ascii="仿宋_GB2312" w:hAnsi="仿宋_GB2312" w:cs="仿宋_GB2312" w:eastAsia="仿宋_GB2312"/>
        </w:rPr>
        <w:t>西安鼓乐传统乐社演出服装采购项目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SXHT-(GK)20251107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西安鼓乐传统乐社演出服装采购项目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陕西省艺术研究院西安鼓乐传统乐社演出服装采购项目，具体内容详见采购文件。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4、社会保障资金缴纳证明：供应商提供2025年5月至今任意一个月的社会保障资金缴存单据或社保机构开具的社会保险参保缴费情况证明，依法不需要缴纳社会保障资金的供应商应提供相关文件证明；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5、税收缴纳证明：供应商提供2025年5月至今任意一个月的纳税证明或完税证明，纳税证明或完税证明上应有代收机构或税务机关的公章，依法免税的供应商应提供相关文件证明；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6、声明函：参加政府采购活动前3年内经营活动中没有重大违法记录声明函；</w:t>
      </w:r>
    </w:p>
    <w:p>
      <w:pPr>
        <w:pStyle w:val="null3"/>
      </w:pPr>
      <w:r>
        <w:rPr>
          <w:rFonts w:ascii="仿宋_GB2312" w:hAnsi="仿宋_GB2312" w:cs="仿宋_GB2312" w:eastAsia="仿宋_GB2312"/>
        </w:rPr>
        <w:t>7、信用：通过“信用中国”网站（www.creditchina.gov.cn/）和“中国政府采购网”（http://www.ccgp.gov.cn/）查询投标主体未被列入失信被执行人、重大税收失信主体、政府采购严重违法失信行为记录名单；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8、承诺书：提供具有履行服务合同所必需的产品和专业技术能力的承诺书；</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陕西省艺术研究院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陕西省西安市莲湖区龙首北路西段4号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029-86277132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李姣、程嘉乐、田华、雷红涛、薛莉莉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说明：合同签订前，乙方须向甲方缴纳合同总额5%履约保证金，履约保证金待供应商履行完毕全部合同义务，并经甲方履约验收合格，无任何纠纷后无息退还。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招标代理服务费。2.支付方式：中标人应在领取通知书的同时，向陕西海堂项目管理咨询有限公司交纳本项目招标代理服费。3.本项目项目属性：货物招标。</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陕西省艺术研究院</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陕西省艺术研究院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陕西省艺术研究院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 李姣、程嘉乐、田华、雷红涛、薛莉莉</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地址：西安市建西街123号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陕西省艺术研究院西安鼓乐传统乐社演出服装采购项目，具体内容详见采购文件。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西安鼓乐传统乐社演出服装</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款</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标的名称：西安鼓乐传统乐社演出服装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项目基本情况</w:t>
                  </w:r>
                </w:p>
                <w:p>
                  <w:pPr>
                    <w:pStyle w:val="null3"/>
                    <w:jc w:val="both"/>
                  </w:pPr>
                  <w:r>
                    <w:rPr>
                      <w:rFonts w:ascii="仿宋_GB2312" w:hAnsi="仿宋_GB2312" w:cs="仿宋_GB2312" w:eastAsia="仿宋_GB2312"/>
                      <w:sz w:val="24"/>
                    </w:rPr>
                    <w:t>为进一步传承和保护国家级非物质文化遗产</w:t>
                  </w:r>
                  <w:r>
                    <w:rPr>
                      <w:rFonts w:ascii="仿宋_GB2312" w:hAnsi="仿宋_GB2312" w:cs="仿宋_GB2312" w:eastAsia="仿宋_GB2312"/>
                      <w:sz w:val="24"/>
                    </w:rPr>
                    <w:t>“西安鼓乐”，支持传统乐社规范化建设，提升乐社专业演出效果及传承水平，现拟采购一批符合西安鼓乐传统形制的演出服装，保障6家传统乐社的日常排练、公开演出及文化传承活动需求。</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采购需求概况</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设计</w:t>
                  </w:r>
                  <w:r>
                    <w:rPr>
                      <w:rFonts w:ascii="仿宋_GB2312" w:hAnsi="仿宋_GB2312" w:cs="仿宋_GB2312" w:eastAsia="仿宋_GB2312"/>
                      <w:sz w:val="24"/>
                    </w:rPr>
                    <w:t>:设计六套服饰，每套服装分男女款。以唐风为统一设计基调，结合六家传统乐社的风格特质与艺术特色，为其分别设计专属演出服装，通过差异化设计语言凸显各乐社的审美偏好与演奏场景需求，实现“基调统一而个性鲜明”的视觉呈现。通过“唐风基调+乐社个性”的设计策略，使六套服装既能共同传递西安鼓乐的历史文化底蕴，又能精准匹配各乐社的艺术定位与演出场景，强化乐社辨识度助力非遗传承的视觉化表达。</w:t>
                  </w:r>
                </w:p>
                <w:p>
                  <w:pPr>
                    <w:pStyle w:val="null3"/>
                    <w:jc w:val="both"/>
                  </w:pPr>
                  <w:r>
                    <w:rPr>
                      <w:rFonts w:ascii="仿宋_GB2312" w:hAnsi="仿宋_GB2312" w:cs="仿宋_GB2312" w:eastAsia="仿宋_GB2312"/>
                      <w:sz w:val="24"/>
                    </w:rPr>
                    <w:t>风格统一：以唐风为核心设计基调，体现唐代服饰</w:t>
                  </w:r>
                  <w:r>
                    <w:rPr>
                      <w:rFonts w:ascii="仿宋_GB2312" w:hAnsi="仿宋_GB2312" w:cs="仿宋_GB2312" w:eastAsia="仿宋_GB2312"/>
                      <w:sz w:val="24"/>
                    </w:rPr>
                    <w:t>“雍容大气、飘逸灵动”的美学特征。</w:t>
                  </w:r>
                </w:p>
                <w:p>
                  <w:pPr>
                    <w:pStyle w:val="null3"/>
                    <w:jc w:val="both"/>
                  </w:pPr>
                  <w:r>
                    <w:rPr>
                      <w:rFonts w:ascii="仿宋_GB2312" w:hAnsi="仿宋_GB2312" w:cs="仿宋_GB2312" w:eastAsia="仿宋_GB2312"/>
                      <w:sz w:val="24"/>
                    </w:rPr>
                    <w:t>个性差异化：为</w:t>
                  </w:r>
                  <w:r>
                    <w:rPr>
                      <w:rFonts w:ascii="仿宋_GB2312" w:hAnsi="仿宋_GB2312" w:cs="仿宋_GB2312" w:eastAsia="仿宋_GB2312"/>
                      <w:sz w:val="24"/>
                    </w:rPr>
                    <w:t>6家乐社分别设计专属服饰（分男女款），通过色彩体系、主题纹样、配饰细节区分乐社特色（如A社侧重“丝路元素”，B社突出“宫廷雅乐”等）。</w:t>
                  </w:r>
                </w:p>
                <w:p>
                  <w:pPr>
                    <w:pStyle w:val="null3"/>
                    <w:jc w:val="both"/>
                  </w:pPr>
                  <w:r>
                    <w:rPr>
                      <w:rFonts w:ascii="仿宋_GB2312" w:hAnsi="仿宋_GB2312" w:cs="仿宋_GB2312" w:eastAsia="仿宋_GB2312"/>
                      <w:sz w:val="24"/>
                    </w:rPr>
                    <w:t>场景适配：需同时满足室内排练（舒适性）、室外演出（耐候性）、舞台表演（视觉冲击力）等多场景需求。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品类</w:t>
                  </w:r>
                  <w:r>
                    <w:rPr>
                      <w:rFonts w:ascii="仿宋_GB2312" w:hAnsi="仿宋_GB2312" w:cs="仿宋_GB2312" w:eastAsia="仿宋_GB2312"/>
                      <w:sz w:val="24"/>
                    </w:rPr>
                    <w:t>:包含西安鼓乐传统演出所需的上衣、下装、头饰、配饰</w:t>
                  </w:r>
                  <w:r>
                    <w:rPr>
                      <w:rFonts w:ascii="仿宋_GB2312" w:hAnsi="仿宋_GB2312" w:cs="仿宋_GB2312" w:eastAsia="仿宋_GB2312"/>
                      <w:sz w:val="24"/>
                    </w:rPr>
                    <w:t>、</w:t>
                  </w:r>
                  <w:r>
                    <w:rPr>
                      <w:rFonts w:ascii="仿宋_GB2312" w:hAnsi="仿宋_GB2312" w:cs="仿宋_GB2312" w:eastAsia="仿宋_GB2312"/>
                      <w:sz w:val="24"/>
                    </w:rPr>
                    <w:t>鞋履</w:t>
                  </w:r>
                  <w:r>
                    <w:rPr>
                      <w:rFonts w:ascii="仿宋_GB2312" w:hAnsi="仿宋_GB2312" w:cs="仿宋_GB2312" w:eastAsia="仿宋_GB2312"/>
                      <w:sz w:val="24"/>
                    </w:rPr>
                    <w:t>等全套服饰</w:t>
                  </w:r>
                  <w:r>
                    <w:rPr>
                      <w:rFonts w:ascii="仿宋_GB2312" w:hAnsi="仿宋_GB2312" w:cs="仿宋_GB2312" w:eastAsia="仿宋_GB2312"/>
                      <w:sz w:val="24"/>
                    </w:rPr>
                    <w:t>(分性别、角色设计)。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制作数量</w:t>
                  </w:r>
                  <w:r>
                    <w:rPr>
                      <w:rFonts w:ascii="仿宋_GB2312" w:hAnsi="仿宋_GB2312" w:cs="仿宋_GB2312" w:eastAsia="仿宋_GB2312"/>
                      <w:sz w:val="24"/>
                    </w:rPr>
                    <w:t>:一种风格款式制作约30套左右(具体数量及角色分配以乐社人员统计数据为准)，六种款式共制作200套。</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采购品类及数量</w:t>
                  </w:r>
                </w:p>
                <w:tbl>
                  <w:tblPr>
                    <w:tblBorders>
                      <w:top w:val="none" w:color="000000" w:sz="4"/>
                      <w:left w:val="none" w:color="000000" w:sz="4"/>
                      <w:bottom w:val="none" w:color="000000" w:sz="4"/>
                      <w:right w:val="none" w:color="000000" w:sz="4"/>
                      <w:insideH w:val="none"/>
                      <w:insideV w:val="none"/>
                    </w:tblBorders>
                  </w:tblPr>
                  <w:tblGrid>
                    <w:gridCol w:w="588"/>
                    <w:gridCol w:w="950"/>
                    <w:gridCol w:w="567"/>
                    <w:gridCol w:w="806"/>
                  </w:tblGrid>
                  <w:tr>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品类</w:t>
                        </w:r>
                      </w:p>
                    </w:tc>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包含内容</w:t>
                        </w:r>
                      </w:p>
                    </w:tc>
                    <w:tc>
                      <w:tcPr>
                        <w:tcW w:type="dxa" w:w="5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数量（套）</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演出服装</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上衣、下装、头饰、配饰、鞋（分性别）</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200</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设计服务</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6家乐社服饰效果图、纸样、工艺说明</w:t>
                        </w:r>
                      </w:p>
                    </w:tc>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根据每家乐社具体情况设计</w:t>
                        </w:r>
                      </w:p>
                    </w:tc>
                  </w:tr>
                </w:tbl>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主要功能</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保障演出效果</w:t>
                  </w:r>
                  <w:r>
                    <w:rPr>
                      <w:rFonts w:ascii="仿宋_GB2312" w:hAnsi="仿宋_GB2312" w:cs="仿宋_GB2312" w:eastAsia="仿宋_GB2312"/>
                      <w:sz w:val="24"/>
                    </w:rPr>
                    <w:t>:演出服装需符合西安鼓乐历史文化内涵，通过传统形制、纹样及色彩设计，提升舞台视觉呈现力，便于舞台行动，展现非遗艺术的传统美学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提升传承能力</w:t>
                  </w:r>
                  <w:r>
                    <w:rPr>
                      <w:rFonts w:ascii="仿宋_GB2312" w:hAnsi="仿宋_GB2312" w:cs="仿宋_GB2312" w:eastAsia="仿宋_GB2312"/>
                      <w:sz w:val="24"/>
                    </w:rPr>
                    <w:t>:服装材质及工艺需满足长期排练、演出及日常存放需求，支持乐社开展常态化传承教学活动。</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采购标准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材质要求</w:t>
                  </w:r>
                  <w:r>
                    <w:rPr>
                      <w:rFonts w:ascii="仿宋_GB2312" w:hAnsi="仿宋_GB2312" w:cs="仿宋_GB2312" w:eastAsia="仿宋_GB2312"/>
                      <w:sz w:val="24"/>
                    </w:rPr>
                    <w:t>:面料选择应兼具舒适性、透气性及耐用性</w:t>
                  </w:r>
                  <w:r>
                    <w:rPr>
                      <w:rFonts w:ascii="仿宋_GB2312" w:hAnsi="仿宋_GB2312" w:cs="仿宋_GB2312" w:eastAsia="仿宋_GB2312"/>
                      <w:sz w:val="24"/>
                    </w:rPr>
                    <w:t>；</w:t>
                  </w:r>
                  <w:r>
                    <w:rPr>
                      <w:rFonts w:ascii="仿宋_GB2312" w:hAnsi="仿宋_GB2312" w:cs="仿宋_GB2312" w:eastAsia="仿宋_GB2312"/>
                      <w:sz w:val="24"/>
                    </w:rPr>
                    <w:t>刺绣、印染工艺需符合西安鼓乐传统纹样规范</w:t>
                  </w:r>
                  <w:r>
                    <w:rPr>
                      <w:rFonts w:ascii="仿宋_GB2312" w:hAnsi="仿宋_GB2312" w:cs="仿宋_GB2312" w:eastAsia="仿宋_GB2312"/>
                      <w:sz w:val="24"/>
                    </w:rPr>
                    <w:t>(如祥云、花卉、传统图腾等)，色彩还原度高，不易褪色</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形制要求</w:t>
                  </w:r>
                  <w:r>
                    <w:rPr>
                      <w:rFonts w:ascii="仿宋_GB2312" w:hAnsi="仿宋_GB2312" w:cs="仿宋_GB2312" w:eastAsia="仿宋_GB2312"/>
                      <w:sz w:val="24"/>
                    </w:rPr>
                    <w:t>:严格参照西安鼓乐历史文献及现存传统服饰形制设计，符合不同演奏角色的身份特征，确保文化真实性。(以唐制</w:t>
                  </w:r>
                  <w:r>
                    <w:rPr>
                      <w:rFonts w:ascii="仿宋_GB2312" w:hAnsi="仿宋_GB2312" w:cs="仿宋_GB2312" w:eastAsia="仿宋_GB2312"/>
                      <w:sz w:val="24"/>
                    </w:rPr>
                    <w:t>为</w:t>
                  </w:r>
                  <w:r>
                    <w:rPr>
                      <w:rFonts w:ascii="仿宋_GB2312" w:hAnsi="仿宋_GB2312" w:cs="仿宋_GB2312" w:eastAsia="仿宋_GB2312"/>
                      <w:sz w:val="24"/>
                    </w:rPr>
                    <w:t>主</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适配性要求</w:t>
                  </w:r>
                  <w:r>
                    <w:rPr>
                      <w:rFonts w:ascii="仿宋_GB2312" w:hAnsi="仿宋_GB2312" w:cs="仿宋_GB2312" w:eastAsia="仿宋_GB2312"/>
                      <w:sz w:val="24"/>
                    </w:rPr>
                    <w:t>:根据乐社人员体型数据定制，尺寸精准，穿着合身，便于演奏动作施展(如乐器操作、肢体配合等)。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耐用性要求</w:t>
                  </w:r>
                  <w:r>
                    <w:rPr>
                      <w:rFonts w:ascii="仿宋_GB2312" w:hAnsi="仿宋_GB2312" w:cs="仿宋_GB2312" w:eastAsia="仿宋_GB2312"/>
                      <w:sz w:val="24"/>
                    </w:rPr>
                    <w:t>:缝线牢固，配饰(如纽扣、流苏等)不易脱落，可耐受&gt;50次常规清洗及长期舞台使用</w:t>
                  </w:r>
                </w:p>
                <w:p>
                  <w:pPr>
                    <w:pStyle w:val="null3"/>
                    <w:jc w:val="both"/>
                  </w:pPr>
                  <w:r>
                    <w:rPr>
                      <w:rFonts w:ascii="仿宋_GB2312" w:hAnsi="仿宋_GB2312" w:cs="仿宋_GB2312" w:eastAsia="仿宋_GB2312"/>
                      <w:sz w:val="24"/>
                      <w:b/>
                    </w:rPr>
                    <w:t>5、材质要求。</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面料分类及参数</w:t>
                  </w:r>
                </w:p>
                <w:tbl>
                  <w:tblPr>
                    <w:tblBorders>
                      <w:top w:val="none" w:color="000000" w:sz="4"/>
                      <w:left w:val="none" w:color="000000" w:sz="4"/>
                      <w:bottom w:val="none" w:color="000000" w:sz="4"/>
                      <w:right w:val="none" w:color="000000" w:sz="4"/>
                      <w:insideH w:val="none"/>
                      <w:insideV w:val="none"/>
                    </w:tblBorders>
                  </w:tblPr>
                  <w:tblGrid>
                    <w:gridCol w:w="522"/>
                    <w:gridCol w:w="728"/>
                    <w:gridCol w:w="1666"/>
                  </w:tblGrid>
                  <w:tr>
                    <w:tc>
                      <w:tcPr>
                        <w:tcW w:type="dxa" w:w="5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服饰部位</w:t>
                        </w:r>
                      </w:p>
                    </w:tc>
                    <w:tc>
                      <w:tcPr>
                        <w:tcW w:type="dxa" w:w="7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推荐面料类型</w:t>
                        </w:r>
                      </w:p>
                    </w:tc>
                    <w:tc>
                      <w:tcPr>
                        <w:tcW w:type="dxa" w:w="1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技术指标要求</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女装</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雪纺、提花</w:t>
                        </w:r>
                        <w:r>
                          <w:rPr>
                            <w:rFonts w:ascii="仿宋_GB2312" w:hAnsi="仿宋_GB2312" w:cs="仿宋_GB2312" w:eastAsia="仿宋_GB2312"/>
                            <w:sz w:val="24"/>
                          </w:rPr>
                          <w:t>面料、合成纤维面料、欧根纱、棉麻</w:t>
                        </w:r>
                        <w:r>
                          <w:rPr>
                            <w:rFonts w:ascii="仿宋_GB2312" w:hAnsi="仿宋_GB2312" w:cs="仿宋_GB2312" w:eastAsia="仿宋_GB2312"/>
                            <w:sz w:val="24"/>
                          </w:rPr>
                          <w:t>、</w:t>
                        </w:r>
                        <w:r>
                          <w:rPr>
                            <w:rFonts w:ascii="仿宋_GB2312" w:hAnsi="仿宋_GB2312" w:cs="仿宋_GB2312" w:eastAsia="仿宋_GB2312"/>
                            <w:sz w:val="24"/>
                          </w:rPr>
                          <w:t>真丝棉混纺等面料）</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克重</w:t>
                        </w:r>
                        <w:r>
                          <w:rPr>
                            <w:rFonts w:ascii="仿宋_GB2312" w:hAnsi="仿宋_GB2312" w:cs="仿宋_GB2312" w:eastAsia="仿宋_GB2312"/>
                            <w:sz w:val="24"/>
                          </w:rPr>
                          <w:t>130-150g/㎡，抗皱等级≥3级（GB/T3819-1997），色牢度耐洗≥4级（GB/T3921-2008）</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男装</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雪纺、提花面料</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密度</w:t>
                        </w:r>
                        <w:r>
                          <w:rPr>
                            <w:rFonts w:ascii="仿宋_GB2312" w:hAnsi="仿宋_GB2312" w:cs="仿宋_GB2312" w:eastAsia="仿宋_GB2312"/>
                            <w:sz w:val="24"/>
                          </w:rPr>
                          <w:t>≥120×68根/英寸，色牢度耐光≥4级（GB/T 3921-2008），垂坠系数≥2.5cm</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装饰</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局部使用</w:t>
                        </w:r>
                        <w:r>
                          <w:rPr>
                            <w:rFonts w:ascii="仿宋_GB2312" w:hAnsi="仿宋_GB2312" w:cs="仿宋_GB2312" w:eastAsia="仿宋_GB2312"/>
                            <w:sz w:val="24"/>
                          </w:rPr>
                          <w:t>刺绣</w:t>
                        </w:r>
                        <w:r>
                          <w:rPr>
                            <w:rFonts w:ascii="仿宋_GB2312" w:hAnsi="仿宋_GB2312" w:cs="仿宋_GB2312" w:eastAsia="仿宋_GB2312"/>
                            <w:sz w:val="24"/>
                          </w:rPr>
                          <w:t>拼接手法、传统图案数码印花装饰等。</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无裂纹，色差</w:t>
                        </w:r>
                        <w:r>
                          <w:rPr>
                            <w:rFonts w:ascii="仿宋_GB2312" w:hAnsi="仿宋_GB2312" w:cs="仿宋_GB2312" w:eastAsia="仿宋_GB2312"/>
                            <w:sz w:val="24"/>
                          </w:rPr>
                          <w:t>≤ΔE2.0（CIE LAB标准），金属配件耐盐雾测试≥24小时</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发套</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女装做整体唐风发饰头套，搭配</w:t>
                        </w:r>
                        <w:r>
                          <w:rPr>
                            <w:rFonts w:ascii="仿宋_GB2312" w:hAnsi="仿宋_GB2312" w:cs="仿宋_GB2312" w:eastAsia="仿宋_GB2312"/>
                            <w:sz w:val="24"/>
                          </w:rPr>
                          <w:t>仿金银饰品</w:t>
                        </w:r>
                        <w:r>
                          <w:rPr>
                            <w:rFonts w:ascii="仿宋_GB2312" w:hAnsi="仿宋_GB2312" w:cs="仿宋_GB2312" w:eastAsia="仿宋_GB2312"/>
                            <w:sz w:val="24"/>
                          </w:rPr>
                          <w:t>装饰、</w:t>
                        </w:r>
                        <w:r>
                          <w:rPr>
                            <w:rFonts w:ascii="仿宋_GB2312" w:hAnsi="仿宋_GB2312" w:cs="仿宋_GB2312" w:eastAsia="仿宋_GB2312"/>
                            <w:sz w:val="24"/>
                          </w:rPr>
                          <w:t>珍珠装饰等</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头套效果逼真，易带易整理</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幞头、抹额</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男装幞头做整体帽，搭配与服装相融合的抹额</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帽子支撑饱满，易整理，可调节</w:t>
                        </w:r>
                      </w:p>
                    </w:tc>
                  </w:tr>
                  <w:tr>
                    <w:tc>
                      <w:tcPr>
                        <w:tcW w:type="dxa" w:w="5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鞋履</w:t>
                        </w:r>
                      </w:p>
                    </w:tc>
                    <w:tc>
                      <w:tcPr>
                        <w:tcW w:type="dxa" w:w="7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千层底布鞋</w:t>
                        </w:r>
                        <w:r>
                          <w:rPr>
                            <w:rFonts w:ascii="仿宋_GB2312" w:hAnsi="仿宋_GB2312" w:cs="仿宋_GB2312" w:eastAsia="仿宋_GB2312"/>
                            <w:sz w:val="24"/>
                          </w:rPr>
                          <w:t>/刺绣织锦鞋面</w:t>
                        </w:r>
                      </w:p>
                    </w:tc>
                    <w:tc>
                      <w:tcPr>
                        <w:tcW w:type="dxa" w:w="1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鞋底厚度</w:t>
                        </w:r>
                        <w:r>
                          <w:rPr>
                            <w:rFonts w:ascii="仿宋_GB2312" w:hAnsi="仿宋_GB2312" w:cs="仿宋_GB2312" w:eastAsia="仿宋_GB2312"/>
                            <w:sz w:val="24"/>
                          </w:rPr>
                          <w:t>≥8mm，防滑系数≥0.6（GB/T 22807-2008），鞋面透气孔密度≥4个/cm²</w:t>
                        </w:r>
                      </w:p>
                    </w:tc>
                  </w:tr>
                </w:tbl>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辅料要求</w:t>
                  </w:r>
                </w:p>
                <w:p>
                  <w:pPr>
                    <w:pStyle w:val="null3"/>
                    <w:jc w:val="both"/>
                  </w:pPr>
                  <w:r>
                    <w:rPr>
                      <w:rFonts w:ascii="仿宋_GB2312" w:hAnsi="仿宋_GB2312" w:cs="仿宋_GB2312" w:eastAsia="仿宋_GB2312"/>
                      <w:sz w:val="24"/>
                    </w:rPr>
                    <w:t>缝线：采用高强度涤纶线（断裂强度</w:t>
                  </w:r>
                  <w:r>
                    <w:rPr>
                      <w:rFonts w:ascii="仿宋_GB2312" w:hAnsi="仿宋_GB2312" w:cs="仿宋_GB2312" w:eastAsia="仿宋_GB2312"/>
                      <w:sz w:val="24"/>
                    </w:rPr>
                    <w:t>≥5N），关键部位（如袖口、腰围）需双线车缝。</w:t>
                  </w:r>
                </w:p>
                <w:p>
                  <w:pPr>
                    <w:pStyle w:val="null3"/>
                    <w:jc w:val="both"/>
                  </w:pPr>
                  <w:r>
                    <w:rPr>
                      <w:rFonts w:ascii="仿宋_GB2312" w:hAnsi="仿宋_GB2312" w:cs="仿宋_GB2312" w:eastAsia="仿宋_GB2312"/>
                      <w:sz w:val="24"/>
                    </w:rPr>
                    <w:t>拉链</w:t>
                  </w:r>
                  <w:r>
                    <w:rPr>
                      <w:rFonts w:ascii="仿宋_GB2312" w:hAnsi="仿宋_GB2312" w:cs="仿宋_GB2312" w:eastAsia="仿宋_GB2312"/>
                      <w:sz w:val="24"/>
                    </w:rPr>
                    <w:t>/纽扣：隐藏式尼龙拉链（顺滑度≥5000次无卡顿），金属纽扣需通过盐雾测试≥48小时。</w:t>
                  </w:r>
                </w:p>
                <w:p>
                  <w:pPr>
                    <w:pStyle w:val="null3"/>
                    <w:jc w:val="both"/>
                  </w:pPr>
                  <w:r>
                    <w:rPr>
                      <w:rFonts w:ascii="仿宋_GB2312" w:hAnsi="仿宋_GB2312" w:cs="仿宋_GB2312" w:eastAsia="仿宋_GB2312"/>
                      <w:sz w:val="24"/>
                      <w:b/>
                    </w:rPr>
                    <w:t>（</w:t>
                  </w: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形制要求</w:t>
                  </w:r>
                  <w:r>
                    <w:rPr>
                      <w:rFonts w:ascii="仿宋_GB2312" w:hAnsi="仿宋_GB2312" w:cs="仿宋_GB2312" w:eastAsia="仿宋_GB2312"/>
                      <w:sz w:val="24"/>
                      <w:b/>
                    </w:rPr>
                    <w:t>（唐制为核心）</w:t>
                  </w:r>
                </w:p>
                <w:p>
                  <w:pPr>
                    <w:pStyle w:val="null3"/>
                    <w:jc w:val="both"/>
                  </w:pPr>
                  <w:r>
                    <w:rPr>
                      <w:rFonts w:ascii="仿宋_GB2312" w:hAnsi="仿宋_GB2312" w:cs="仿宋_GB2312" w:eastAsia="仿宋_GB2312"/>
                      <w:sz w:val="24"/>
                    </w:rPr>
                    <w:t>3.1男装形制</w:t>
                  </w:r>
                </w:p>
                <w:tbl>
                  <w:tblPr>
                    <w:tblBorders>
                      <w:top w:val="none" w:color="000000" w:sz="4"/>
                      <w:left w:val="none" w:color="000000" w:sz="4"/>
                      <w:bottom w:val="none" w:color="000000" w:sz="4"/>
                      <w:right w:val="none" w:color="000000" w:sz="4"/>
                      <w:insideH w:val="none"/>
                      <w:insideV w:val="none"/>
                    </w:tblBorders>
                  </w:tblPr>
                  <w:tblGrid>
                    <w:gridCol w:w="226"/>
                    <w:gridCol w:w="2690"/>
                  </w:tblGrid>
                  <w:tr>
                    <w:tc>
                      <w:tcPr>
                        <w:tcW w:type="dxa" w:w="2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款式</w:t>
                        </w:r>
                      </w:p>
                    </w:tc>
                    <w:tc>
                      <w:tcPr>
                        <w:tcW w:type="dxa" w:w="26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细节规范</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上衣</w:t>
                        </w:r>
                      </w:p>
                    </w:tc>
                    <w:tc>
                      <w:tcPr>
                        <w:tcW w:type="dxa" w:w="2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圆领袍（袖宽</w:t>
                        </w:r>
                        <w:r>
                          <w:rPr>
                            <w:rFonts w:ascii="仿宋_GB2312" w:hAnsi="仿宋_GB2312" w:cs="仿宋_GB2312" w:eastAsia="仿宋_GB2312"/>
                            <w:sz w:val="24"/>
                          </w:rPr>
                          <w:t>35-40cm，便于乐器演奏），下摆开衩至膝上10cm，腰节处收省（±2cm误差），内搭水衣</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下装</w:t>
                        </w:r>
                      </w:p>
                    </w:tc>
                    <w:tc>
                      <w:tcPr>
                        <w:tcW w:type="dxa" w:w="2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条纹小口袴（裤脚收口直径</w:t>
                        </w:r>
                        <w:r>
                          <w:rPr>
                            <w:rFonts w:ascii="仿宋_GB2312" w:hAnsi="仿宋_GB2312" w:cs="仿宋_GB2312" w:eastAsia="仿宋_GB2312"/>
                            <w:sz w:val="24"/>
                          </w:rPr>
                          <w:t>≤20cm），腰部配皮质蹀躞带（可调节长度），内搭水裤</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头饰</w:t>
                        </w:r>
                      </w:p>
                    </w:tc>
                    <w:tc>
                      <w:tcPr>
                        <w:tcW w:type="dxa" w:w="26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幞头（硬壳内衬，高度</w:t>
                        </w:r>
                        <w:r>
                          <w:rPr>
                            <w:rFonts w:ascii="仿宋_GB2312" w:hAnsi="仿宋_GB2312" w:cs="仿宋_GB2312" w:eastAsia="仿宋_GB2312"/>
                            <w:sz w:val="24"/>
                          </w:rPr>
                          <w:t>15-18cm），配乐社专属纹样抹额</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女装形制</w:t>
                  </w:r>
                </w:p>
                <w:tbl>
                  <w:tblPr>
                    <w:tblBorders>
                      <w:top w:val="none" w:color="000000" w:sz="4"/>
                      <w:left w:val="none" w:color="000000" w:sz="4"/>
                      <w:bottom w:val="none" w:color="000000" w:sz="4"/>
                      <w:right w:val="none" w:color="000000" w:sz="4"/>
                      <w:insideH w:val="none"/>
                      <w:insideV w:val="none"/>
                    </w:tblBorders>
                  </w:tblPr>
                  <w:tblGrid>
                    <w:gridCol w:w="234"/>
                    <w:gridCol w:w="2682"/>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款式</w:t>
                        </w:r>
                      </w:p>
                    </w:tc>
                    <w:tc>
                      <w:tcPr>
                        <w:tcW w:type="dxa" w:w="2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细节规范</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上衣</w:t>
                        </w:r>
                      </w:p>
                    </w:tc>
                    <w:tc>
                      <w:tcPr>
                        <w:tcW w:type="dxa" w:w="2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对襟襦裙（胸围放量</w:t>
                        </w:r>
                        <w:r>
                          <w:rPr>
                            <w:rFonts w:ascii="仿宋_GB2312" w:hAnsi="仿宋_GB2312" w:cs="仿宋_GB2312" w:eastAsia="仿宋_GB2312"/>
                            <w:sz w:val="24"/>
                          </w:rPr>
                          <w:t>10-12cm），袖型为“琵琶袖”（袖口宽25cm，袖根宽40cm）</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下装</w:t>
                        </w:r>
                      </w:p>
                    </w:tc>
                    <w:tc>
                      <w:tcPr>
                        <w:tcW w:type="dxa" w:w="2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高腰破裙（裙摆展开度</w:t>
                        </w:r>
                        <w:r>
                          <w:rPr>
                            <w:rFonts w:ascii="仿宋_GB2312" w:hAnsi="仿宋_GB2312" w:cs="仿宋_GB2312" w:eastAsia="仿宋_GB2312"/>
                            <w:sz w:val="24"/>
                          </w:rPr>
                          <w:t>≥180°），裙腰高度距腰线3-5cm，避免束缚演奏动作</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头饰</w:t>
                        </w:r>
                      </w:p>
                    </w:tc>
                    <w:tc>
                      <w:tcPr>
                        <w:tcW w:type="dxa" w:w="2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高髻假发（高度</w:t>
                        </w:r>
                        <w:r>
                          <w:rPr>
                            <w:rFonts w:ascii="仿宋_GB2312" w:hAnsi="仿宋_GB2312" w:cs="仿宋_GB2312" w:eastAsia="仿宋_GB2312"/>
                            <w:sz w:val="24"/>
                          </w:rPr>
                          <w:t>25-30cm），配珠花、步摇（流苏长度≤15cm，避免晃动干扰演奏）</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b/>
                    </w:rPr>
                    <w:t>纹样与色彩要求</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.1主题纹样设计（举例）</w:t>
                  </w:r>
                </w:p>
                <w:tbl>
                  <w:tblPr>
                    <w:tblBorders>
                      <w:top w:val="none" w:color="000000" w:sz="4"/>
                      <w:left w:val="none" w:color="000000" w:sz="4"/>
                      <w:bottom w:val="none" w:color="000000" w:sz="4"/>
                      <w:right w:val="none" w:color="000000" w:sz="4"/>
                      <w:insideH w:val="none"/>
                      <w:insideV w:val="none"/>
                    </w:tblBorders>
                  </w:tblPr>
                  <w:tblGrid>
                    <w:gridCol w:w="827"/>
                    <w:gridCol w:w="695"/>
                    <w:gridCol w:w="707"/>
                    <w:gridCol w:w="682"/>
                  </w:tblGrid>
                  <w:tr>
                    <w:tc>
                      <w:tcPr>
                        <w:tcW w:type="dxa" w:w="8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乐社差异化方向</w:t>
                        </w:r>
                      </w:p>
                    </w:tc>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统一唐风元素</w:t>
                        </w:r>
                      </w:p>
                    </w:tc>
                    <w:tc>
                      <w:tcPr>
                        <w:tcW w:type="dxa" w:w="7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专属纹样示例</w:t>
                        </w:r>
                      </w:p>
                    </w:tc>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工艺要求</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乐社</w:t>
                        </w:r>
                        <w:r>
                          <w:rPr>
                            <w:rFonts w:ascii="仿宋_GB2312" w:hAnsi="仿宋_GB2312" w:cs="仿宋_GB2312" w:eastAsia="仿宋_GB2312"/>
                            <w:sz w:val="24"/>
                          </w:rPr>
                          <w:t>A（丝路风）</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祥云纹（边框统一）</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骆驼、葡萄纹</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机绣（针脚密度</w:t>
                        </w:r>
                        <w:r>
                          <w:rPr>
                            <w:rFonts w:ascii="仿宋_GB2312" w:hAnsi="仿宋_GB2312" w:cs="仿宋_GB2312" w:eastAsia="仿宋_GB2312"/>
                            <w:sz w:val="24"/>
                          </w:rPr>
                          <w:t>≥9针/cm²）</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乐社</w:t>
                        </w:r>
                        <w:r>
                          <w:rPr>
                            <w:rFonts w:ascii="仿宋_GB2312" w:hAnsi="仿宋_GB2312" w:cs="仿宋_GB2312" w:eastAsia="仿宋_GB2312"/>
                            <w:sz w:val="24"/>
                          </w:rPr>
                          <w:t>B（宫廷风）</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宝相花（基底统一）</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龙凤呈祥（局部贴金工艺）</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织锦提花（图案完整度</w:t>
                        </w:r>
                        <w:r>
                          <w:rPr>
                            <w:rFonts w:ascii="仿宋_GB2312" w:hAnsi="仿宋_GB2312" w:cs="仿宋_GB2312" w:eastAsia="仿宋_GB2312"/>
                            <w:sz w:val="24"/>
                          </w:rPr>
                          <w:t>≥98%）</w:t>
                        </w:r>
                      </w:p>
                    </w:tc>
                  </w:tr>
                  <w:tr>
                    <w:tc>
                      <w:tcPr>
                        <w:tcW w:type="dxa" w:w="8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乐社</w:t>
                        </w:r>
                        <w:r>
                          <w:rPr>
                            <w:rFonts w:ascii="仿宋_GB2312" w:hAnsi="仿宋_GB2312" w:cs="仿宋_GB2312" w:eastAsia="仿宋_GB2312"/>
                            <w:sz w:val="24"/>
                          </w:rPr>
                          <w:t>C（文人风）</w:t>
                        </w:r>
                      </w:p>
                    </w:tc>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回纹（袖口统一）</w:t>
                        </w:r>
                      </w:p>
                    </w:tc>
                    <w:tc>
                      <w:tcPr>
                        <w:tcW w:type="dxa" w:w="7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梅兰竹菊（水墨印染）</w:t>
                        </w:r>
                      </w:p>
                    </w:tc>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数码印花（分辨率</w:t>
                        </w:r>
                        <w:r>
                          <w:rPr>
                            <w:rFonts w:ascii="仿宋_GB2312" w:hAnsi="仿宋_GB2312" w:cs="仿宋_GB2312" w:eastAsia="仿宋_GB2312"/>
                            <w:sz w:val="24"/>
                          </w:rPr>
                          <w:t>≥300dpi）</w:t>
                        </w:r>
                      </w:p>
                    </w:tc>
                  </w:tr>
                </w:tbl>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.2色彩标准</w:t>
                  </w:r>
                </w:p>
                <w:p>
                  <w:pPr>
                    <w:pStyle w:val="null3"/>
                    <w:jc w:val="both"/>
                  </w:pPr>
                  <w:r>
                    <w:rPr>
                      <w:rFonts w:ascii="仿宋_GB2312" w:hAnsi="仿宋_GB2312" w:cs="仿宋_GB2312" w:eastAsia="仿宋_GB2312"/>
                      <w:sz w:val="24"/>
                    </w:rPr>
                    <w:t>主色调：以唐代</w:t>
                  </w:r>
                  <w:r>
                    <w:rPr>
                      <w:rFonts w:ascii="仿宋_GB2312" w:hAnsi="仿宋_GB2312" w:cs="仿宋_GB2312" w:eastAsia="仿宋_GB2312"/>
                      <w:sz w:val="24"/>
                    </w:rPr>
                    <w:t>“紫、绯、绿、青”为基础色系。</w:t>
                  </w:r>
                </w:p>
                <w:p>
                  <w:pPr>
                    <w:pStyle w:val="null3"/>
                    <w:jc w:val="both"/>
                  </w:pPr>
                  <w:r>
                    <w:rPr>
                      <w:rFonts w:ascii="仿宋_GB2312" w:hAnsi="仿宋_GB2312" w:cs="仿宋_GB2312" w:eastAsia="仿宋_GB2312"/>
                      <w:sz w:val="24"/>
                    </w:rPr>
                    <w:t>色彩搭配：参考唐代色系及纹样，每套服饰主要色彩不超过</w:t>
                  </w:r>
                  <w:r>
                    <w:rPr>
                      <w:rFonts w:ascii="仿宋_GB2312" w:hAnsi="仿宋_GB2312" w:cs="仿宋_GB2312" w:eastAsia="仿宋_GB2312"/>
                      <w:sz w:val="24"/>
                    </w:rPr>
                    <w:t>4种（主色1+辅助色2+点缀色）搭配唐代纹样印花和刺绣，避免高饱和色冲突。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b/>
                    </w:rPr>
                    <w:t>耐用性与适配性</w:t>
                  </w:r>
                </w:p>
                <w:p>
                  <w:pPr>
                    <w:pStyle w:val="null3"/>
                    <w:jc w:val="both"/>
                  </w:pPr>
                  <w:r>
                    <w:rPr>
                      <w:rFonts w:ascii="仿宋_GB2312" w:hAnsi="仿宋_GB2312" w:cs="仿宋_GB2312" w:eastAsia="仿宋_GB2312"/>
                      <w:sz w:val="24"/>
                    </w:rPr>
                    <w:t>耐用性：</w:t>
                  </w:r>
                </w:p>
                <w:p>
                  <w:pPr>
                    <w:pStyle w:val="null3"/>
                    <w:jc w:val="both"/>
                  </w:pPr>
                  <w:r>
                    <w:rPr>
                      <w:rFonts w:ascii="仿宋_GB2312" w:hAnsi="仿宋_GB2312" w:cs="仿宋_GB2312" w:eastAsia="仿宋_GB2312"/>
                      <w:sz w:val="24"/>
                    </w:rPr>
                    <w:t>面料耐洗次数</w:t>
                  </w:r>
                  <w:r>
                    <w:rPr>
                      <w:rFonts w:ascii="仿宋_GB2312" w:hAnsi="仿宋_GB2312" w:cs="仿宋_GB2312" w:eastAsia="仿宋_GB2312"/>
                      <w:sz w:val="24"/>
                    </w:rPr>
                    <w:t>≥50次（参照GB/T 8629-2017标准洗涤），缩水率≤3%。</w:t>
                  </w:r>
                </w:p>
                <w:p>
                  <w:pPr>
                    <w:pStyle w:val="null3"/>
                    <w:jc w:val="both"/>
                  </w:pPr>
                  <w:r>
                    <w:rPr>
                      <w:rFonts w:ascii="仿宋_GB2312" w:hAnsi="仿宋_GB2312" w:cs="仿宋_GB2312" w:eastAsia="仿宋_GB2312"/>
                      <w:sz w:val="24"/>
                    </w:rPr>
                    <w:t>刺绣</w:t>
                  </w:r>
                  <w:r>
                    <w:rPr>
                      <w:rFonts w:ascii="仿宋_GB2312" w:hAnsi="仿宋_GB2312" w:cs="仿宋_GB2312" w:eastAsia="仿宋_GB2312"/>
                      <w:sz w:val="24"/>
                    </w:rPr>
                    <w:t>/印花部位经摩擦测试≥4级（GB/T 3920-2008），无脱落、开裂。</w:t>
                  </w:r>
                </w:p>
                <w:p>
                  <w:pPr>
                    <w:pStyle w:val="null3"/>
                    <w:jc w:val="both"/>
                  </w:pPr>
                  <w:r>
                    <w:rPr>
                      <w:rFonts w:ascii="仿宋_GB2312" w:hAnsi="仿宋_GB2312" w:cs="仿宋_GB2312" w:eastAsia="仿宋_GB2312"/>
                      <w:sz w:val="24"/>
                    </w:rPr>
                    <w:t>定制化适配：</w:t>
                  </w:r>
                </w:p>
                <w:p>
                  <w:pPr>
                    <w:pStyle w:val="null3"/>
                    <w:jc w:val="both"/>
                  </w:pPr>
                  <w:r>
                    <w:rPr>
                      <w:rFonts w:ascii="仿宋_GB2312" w:hAnsi="仿宋_GB2312" w:cs="仿宋_GB2312" w:eastAsia="仿宋_GB2312"/>
                      <w:sz w:val="24"/>
                    </w:rPr>
                    <w:t>需上门采集</w:t>
                  </w:r>
                  <w:r>
                    <w:rPr>
                      <w:rFonts w:ascii="仿宋_GB2312" w:hAnsi="仿宋_GB2312" w:cs="仿宋_GB2312" w:eastAsia="仿宋_GB2312"/>
                      <w:sz w:val="24"/>
                    </w:rPr>
                    <w:t>6家乐社共200人精准尺寸（含肩宽、袖长、腰围等15项数据），提供试穿样衣（修改次数≥2次）。</w:t>
                  </w:r>
                </w:p>
                <w:p>
                  <w:pPr>
                    <w:pStyle w:val="null3"/>
                    <w:jc w:val="both"/>
                  </w:pPr>
                  <w:r>
                    <w:rPr>
                      <w:rFonts w:ascii="仿宋_GB2312" w:hAnsi="仿宋_GB2312" w:cs="仿宋_GB2312" w:eastAsia="仿宋_GB2312"/>
                      <w:sz w:val="24"/>
                      <w:b/>
                    </w:rPr>
                    <w:t>6</w:t>
                  </w:r>
                  <w:r>
                    <w:rPr>
                      <w:rFonts w:ascii="仿宋_GB2312" w:hAnsi="仿宋_GB2312" w:cs="仿宋_GB2312" w:eastAsia="仿宋_GB2312"/>
                      <w:sz w:val="24"/>
                      <w:b/>
                    </w:rPr>
                    <w:t>、</w:t>
                  </w:r>
                  <w:r>
                    <w:rPr>
                      <w:rFonts w:ascii="仿宋_GB2312" w:hAnsi="仿宋_GB2312" w:cs="仿宋_GB2312" w:eastAsia="仿宋_GB2312"/>
                      <w:sz w:val="24"/>
                      <w:b/>
                    </w:rPr>
                    <w:t>样品提交：需提供</w:t>
                  </w:r>
                  <w:r>
                    <w:rPr>
                      <w:rFonts w:ascii="仿宋_GB2312" w:hAnsi="仿宋_GB2312" w:cs="仿宋_GB2312" w:eastAsia="仿宋_GB2312"/>
                      <w:sz w:val="24"/>
                      <w:b/>
                    </w:rPr>
                    <w:t>1套完整样衣（含配饰）及面料小样（A4大小）</w:t>
                  </w:r>
                  <w:r>
                    <w:rPr>
                      <w:rFonts w:ascii="仿宋_GB2312" w:hAnsi="仿宋_GB2312" w:cs="仿宋_GB2312" w:eastAsia="仿宋_GB2312"/>
                      <w:sz w:val="24"/>
                      <w:b/>
                    </w:rPr>
                    <w:t>。男女各一套。</w:t>
                  </w:r>
                </w:p>
                <w:p>
                  <w:pPr>
                    <w:pStyle w:val="null3"/>
                    <w:jc w:val="both"/>
                  </w:pPr>
                  <w:r>
                    <w:rPr>
                      <w:rFonts w:ascii="仿宋_GB2312" w:hAnsi="仿宋_GB2312" w:cs="仿宋_GB2312" w:eastAsia="仿宋_GB2312"/>
                      <w:sz w:val="24"/>
                      <w:b/>
                    </w:rPr>
                    <w:t>7</w:t>
                  </w:r>
                  <w:r>
                    <w:rPr>
                      <w:rFonts w:ascii="仿宋_GB2312" w:hAnsi="仿宋_GB2312" w:cs="仿宋_GB2312" w:eastAsia="仿宋_GB2312"/>
                      <w:sz w:val="24"/>
                      <w:b/>
                    </w:rPr>
                    <w:t>、</w:t>
                  </w:r>
                  <w:r>
                    <w:rPr>
                      <w:rFonts w:ascii="仿宋_GB2312" w:hAnsi="仿宋_GB2312" w:cs="仿宋_GB2312" w:eastAsia="仿宋_GB2312"/>
                      <w:sz w:val="24"/>
                      <w:b/>
                    </w:rPr>
                    <w:t>报价要求：包含设计费、材料费、制作费、运输费（含税全包价）</w:t>
                  </w:r>
                  <w:r>
                    <w:rPr>
                      <w:rFonts w:ascii="仿宋_GB2312" w:hAnsi="仿宋_GB2312" w:cs="仿宋_GB2312" w:eastAsia="仿宋_GB2312"/>
                      <w:sz w:val="24"/>
                      <w:b/>
                    </w:rPr>
                    <w:t>、</w:t>
                  </w:r>
                  <w:r>
                    <w:rPr>
                      <w:rFonts w:ascii="仿宋_GB2312" w:hAnsi="仿宋_GB2312" w:cs="仿宋_GB2312" w:eastAsia="仿宋_GB2312"/>
                      <w:sz w:val="24"/>
                      <w:b/>
                    </w:rPr>
                    <w:t>审计费</w:t>
                  </w:r>
                  <w:r>
                    <w:rPr>
                      <w:rFonts w:ascii="仿宋_GB2312" w:hAnsi="仿宋_GB2312" w:cs="仿宋_GB2312" w:eastAsia="仿宋_GB2312"/>
                      <w:sz w:val="24"/>
                      <w:b/>
                    </w:rPr>
                    <w:t>等一切费用。</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合同签订后150天内完成全部服装交付（分阶段：设计稿确认30天→样品制作30天→批量生产90天）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陕西省艺术研究院指定仓库（含包装、防潮处理）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设计稿确认后、原材料采购前</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样品收到经检验合格后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全部产品验收合格并交付后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外观质量：与设计效果图对应款式颜色无明显的差别，无跳线、色差、污渍，纹样对位误差≤1mm。 工艺检测：随机抽取10%样品进行拉力测试（缝线断裂强度≥15N）、配饰拉力测试（≥5N无脱落）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质保期：6个月。 质保范围：涵盖非人为因素导致的质量问题，如：面料开裂、缝线脱落、盘扣松动、染色不均等。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如中标/成交供应商所交付货物不符合其投标承诺，存在偷工减料、以次充好情形的，采购人要求更换一次后仍不符合约定的，采购人有权解除采购合同，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1.在线客服：通过陕西省政府采购网-在线客服进行咨询 技术服务电话：029-96702 CA及签章服务：通过陕西省政府采购网-服务专区进行查询 2.审计费用承担：本项目的审计费用由中标单位承担。该费用包含在合同总价中，中标单位应在收到审计报告后按约定支付。 支付流程：中标单位应在审计报告出具后7日内，直接向审计机构支付费用。若逾期支付，每日按应付未付金额的0.5%计收违约金。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投标函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的财务报告(包括审计报告、资产负债表、利润表、现金流量表及其附注、会计师事务所营业执照、执业证书、注册会计师证书，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供应商提供2025年5月至今任意一个月的社会保障资金缴存单据或社保机构开具的社会保险参保缴费情况证明，依法不需要缴纳社会保障资金的供应商应提供相关文件证明；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供应商提供2025年5月至今任意一个月的纳税证明或完税证明，纳税证明或完税证明上应有代收机构或税务机关的公章，依法免税的供应商应提供相关文件证明；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声明函</w:t>
            </w:r>
          </w:p>
        </w:tc>
        <w:tc>
          <w:tcPr>
            <w:tcW w:type="dxa" w:w="3322"/>
          </w:tcPr>
          <w:p>
            <w:pPr>
              <w:pStyle w:val="null3"/>
            </w:pPr>
            <w:r>
              <w:rPr>
                <w:rFonts w:ascii="仿宋_GB2312" w:hAnsi="仿宋_GB2312" w:cs="仿宋_GB2312" w:eastAsia="仿宋_GB2312"/>
              </w:rPr>
              <w:t>参加政府采购活动前3年内经营活动中没有重大违法记录声明函；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通过“信用中国”网站（www.creditchina.gov.cn/）和“中国政府采购网”（http://www.ccgp.gov.cn/）查询投标主体未被列入失信被执行人、重大税收失信主体、政府采购严重违法失信行为记录名单；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提供具有履行服务合同所必需的产品和专业技术能力的承诺书；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需落实的政府采购政策</w:t>
            </w:r>
          </w:p>
        </w:tc>
        <w:tc>
          <w:tcPr>
            <w:tcW w:type="dxa" w:w="3322"/>
          </w:tcPr>
          <w:p>
            <w:pPr>
              <w:pStyle w:val="null3"/>
            </w:pPr>
            <w:r>
              <w:rPr>
                <w:rFonts w:ascii="仿宋_GB2312" w:hAnsi="仿宋_GB2312" w:cs="仿宋_GB2312" w:eastAsia="仿宋_GB2312"/>
              </w:rPr>
              <w:t>（1）《政府采购促进中小企业发展管理办法》（财库〔2020〕46号）；（2）《财政部司法部关于政府采购支持监狱企业发展有关问题的通知》（财库〔2014〕68号）；（3）《关于促进残疾人就业政府采购政策的通知》（财库〔2017〕141号）。（4）《国务院办公厅关于建立政府强制采购节能产品制度的通知》（国办发〔2007〕51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市场监管总局关于发布参与实施政府采购节能产品、环境标志产品认证机构名录的公告》—2019年第16号；（9）《关于运用政府采购政策支持乡村产业振兴的通知》（财库〔2021〕19号）；（10）陕西省财政厅关于印发《陕西省中小企业政府采购信用融资办法》（陕财办采〔2018〕23号），相关政策、业务流程、办理平台（详见http://www.ccgp-shaanxi.gov.cn/zcdservice/zcd/shanxi/）；（11）《陕西省财政厅关于加快推进我省中小企业政府采购信用融资工作的通知》（陕财办采〔2020〕15号）；（12）《关于进一步加强政府绿色采购有关问题的通知》（陕财办采〔2021〕29号）；（13）《陕西省财政厅陕西省工业和信息化厅关于运用政府采购政策支持首台（套）及创新产品有关事项的通知》（陕财办采﹝2021﹞17号）；（14）《关于进一步加大政府采购支持中小企业力度的通知》（财库〔2022〕19号）、《关于落实政府采购支持中小企业政策有关事项的通知》（陕财办采函〔2022〕10号）；（15）陕西省财政厅《关于进一步落实政府采购支持中小企业相关政策的通知》陕财办采〔2023〕3号；（16）陕西省财政厅《关于进一步优化政府采购营商环境有关事项的通知》陕财办采〔2023〕4号；（17）其他需要落实的政府采购政策。若享受以上政策优惠的企业，提供相应声明函或品目范围内产品有效认证证书。</w:t>
            </w:r>
          </w:p>
        </w:tc>
        <w:tc>
          <w:tcPr>
            <w:tcW w:type="dxa" w:w="1661"/>
          </w:tcPr>
          <w:p>
            <w:pPr>
              <w:pStyle w:val="null3"/>
            </w:pPr>
            <w:r>
              <w:rPr>
                <w:rFonts w:ascii="仿宋_GB2312" w:hAnsi="仿宋_GB2312" w:cs="仿宋_GB2312" w:eastAsia="仿宋_GB2312"/>
              </w:rPr>
              <w:t>分项报价表.docx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投标人名称与营业执照、资质证书一致</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投标有效期达到招标文件要求</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产品技术参数表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根据招标文件要求认真审核响应文件中技术参数响应和提供的佐证材料。投标产品的基本功能、产品技术参数和配置完全满足或优于招标文件要求的，得满分20分；女装、男装参数每负偏离一项扣4分，其余产品参数每负偏离一项扣2.0分。扣完为止。 备注：上衣、下装、头饰、配饰、鞋参数必须提供佐证材料（不限于产品彩页、功能截图、厂家授权书等），未提供佐证材料或提供的佐证材料无法证明或低于招标要求时按负偏离处理。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供应商针对本项目提供详细的演出服设计方案，①差异化设计②视觉呈现③设计策略④辨识度等，根据响应情况综合赋分。 评审依据：每一项内容描述详细，切实可行符合项目满足采购需求，精准匹配各乐社的艺术定位与演出场景，描述详细，切实可行符合项目实际内容得2.0分，①～④项合计得8分。内容①～④项任意一项缺项扣2分，扣完为止；内容①～④项里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详细的实施方案，实施方案包含但不限于①总体实施方案②量体计划③工艺流程④生产进度⑤成套搭配适配性⑥人员配置等(项目负责人具有丰富的相关领域工作经验，曾参与关于唐代服饰研究及应用设计、制作背景，提供相关证明材料。）根据响应情况综合赋分。 评审依据：每一项内容描述详细，切实可行符合项目实际内容得1.0分，①～⑥项合计得6分。内容①～⑥项任意一项缺项扣1分，扣完为止；内容①～⑥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所投产品保证①生产工艺②质量保证措施③产品性能、使用寿命及效果，根据响应情况综合赋分。评审依据：每一项内容描述详细，切实可行符合项目实际内容得3.0分，①～③项合计得9分。内容①～③项任意一项缺项扣3分，扣完为止；内容①～③项里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包装、运输及发放方案</w:t>
            </w:r>
          </w:p>
        </w:tc>
        <w:tc>
          <w:tcPr>
            <w:tcW w:type="dxa" w:w="2492"/>
          </w:tcPr>
          <w:p>
            <w:pPr>
              <w:pStyle w:val="null3"/>
            </w:pPr>
            <w:r>
              <w:rPr>
                <w:rFonts w:ascii="仿宋_GB2312" w:hAnsi="仿宋_GB2312" w:cs="仿宋_GB2312" w:eastAsia="仿宋_GB2312"/>
              </w:rPr>
              <w:t>供应商针对本项目所需产品提供①产品的包装、运输方案；②发放方案； 评审依据：每一项内容描述详细，切实可行符合项目实际内容得1分，①～②项合计得2分。内容①～②项任意一项缺项扣1分，扣完为止；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根据提供的应急方案①生产过程、运输过程突发情况的处置；②应急保证措施； 评审依据：每一项内容描述详细，切实可行符合项目实际内容得2分，①～②项合计得4分。内容①～②项任意一项缺项扣2分，扣完为止；内容①～②项里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供应商针对本项目提供①售后服务方案；②维修、替换方案；③尺寸调整方案； 评审依据：每一项内容描述详细，切实可行符合项目实际内容得分，①～③项合计得6分。内容①～③项任意一项缺项扣2分，扣完为止；内容①～③项里有一项内容缺陷（缺陷是指：内容不详细具体、条理不清晰、描述过于简单、与项目特点不匹配、凭空编造、出现常识性错误、不可能实现的夸大情形、存在不适用项目实际情况的情形等）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外观：演出服样衣外观设计，线条结构；②颜色：色彩搭配合理，基调统一，个性鲜明；③面料：面料实用、耐用、无疵点、防摩擦、坚固耐用；④缝制工艺、缝制质量、定型工艺无散角、脱线、跳针等缺陷；⑤包装材料无异味，结实，防潮、防水；⑥装饰：外观设计、制作精细；⑦发套：逼真自然、色泽均匀、贴合舒适、易带易整理；⑧幞头：帽子支撑饱满，易整理，可调节；⑨抹额：抹额精致、舒适；⑩鞋履：外观设计、舒适、坚固耐用； 根据样品实际响应情况综合赋分。评审依据：每一项完全满足，切实可行符合项目实际内容得1分，①～⑩项合计得10分。未提供完整的1套样品不得分；内容①～⑩项里有一项内容缺陷（缺陷是指：样品质量差、样品过于简单、与项目特点不匹配、样品色彩单一、工艺简陋、细节潦草、结构失衡、设计风格不新颖、舒适性差等出现常识性错误、存在不适用项目实际情况的情形等）扣0.5分，扣完为止。 备注：1.投标当天各供应商须在递交投标文件的同时提供男女各一套完整样衣（含配饰）及面料小样（A4大小），无需密封。未提供完整样品不得分。 2.所有提供的样品上均不得有供应商的公司名称及商标标识。样品将作为评标的主要依据之一，中标人的样品将由采购人封存，作为验收标准之一。</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依据供应商从2022年11月至今（以合同签订时间或中标通知书时间为准）的类似项目业绩,每提供一个得1分，满分5分。注：以加盖公章的合同或中标通知书复印件为准。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价格分采用低价优先法计算，即满足招标文件要求且价格最低报价的为评标基准价，其价格分为满分。其他供应商的价格分按照以下公式计算：投标报价得分=(评标基准价／投标报价)×价格权值×100 % 注：1.计算分数时四舍五入取小数点后两位 2.经评委一致认定，供应商的投标总报价低于公认市场成本，或超过采购预算,其投标将被拒绝。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开标一览表</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详见附件：法定代表人授权书.docx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