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版本号：SNJZ-2025-16120251223002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酒店管理系统实训室信息化建设项目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SNJZ-2025-161</w:t>
      </w:r>
      <w:r>
        <w:br/>
      </w:r>
      <w:r>
        <w:br/>
      </w:r>
      <w:r>
        <w:br/>
      </w:r>
    </w:p>
    <w:p>
      <w:pPr>
        <w:pStyle w:val="null3"/>
        <w:jc w:val="center"/>
        <w:outlineLvl w:val="2"/>
      </w:pPr>
      <w:r>
        <w:rPr>
          <w:rFonts w:ascii="仿宋_GB2312" w:hAnsi="仿宋_GB2312" w:cs="仿宋_GB2312" w:eastAsia="仿宋_GB2312"/>
          <w:sz w:val="28"/>
          <w:b/>
        </w:rPr>
        <w:t>陕西开放大学</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陕西开放大学</w:t>
      </w:r>
      <w:r>
        <w:rPr>
          <w:rFonts w:ascii="仿宋_GB2312" w:hAnsi="仿宋_GB2312" w:cs="仿宋_GB2312" w:eastAsia="仿宋_GB2312"/>
        </w:rPr>
        <w:t>委托，拟对</w:t>
      </w:r>
      <w:r>
        <w:rPr>
          <w:rFonts w:ascii="仿宋_GB2312" w:hAnsi="仿宋_GB2312" w:cs="仿宋_GB2312" w:eastAsia="仿宋_GB2312"/>
        </w:rPr>
        <w:t>酒店管理系统实训室信息化建设项目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SNJZ-2025-161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酒店管理系统实训室信息化建设项目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对酒店管理与数字化运营专业酒店管理信息系统实训室进行迁移、改造，主要为迁移软件及新增硬件设施设备、系统集成并对东504进行装修装饰。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2、法定代表人授权书（证明书）：法定代表人参加投标时，提供法定代表人证明书；授权代表参加投标时，提供法定代表人授权书；非法人单位参照执行。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十二个月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4、税收缴纳证明：提供投标响应文件递交截止时间前近十二个月内至少一个月已缴纳的纳税凭据或完税证明；依法免税的供应商应提供相关文件证明。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响应文件截止时间前十二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6、具有履行本合同所必需的设备和专业技术能力的承诺：提供具有履行本合同所必需的设备和专业技术能力的承诺。</w:t>
      </w:r>
    </w:p>
    <w:p>
      <w:pPr>
        <w:pStyle w:val="null3"/>
      </w:pPr>
      <w:r>
        <w:rPr>
          <w:rFonts w:ascii="仿宋_GB2312" w:hAnsi="仿宋_GB2312" w:cs="仿宋_GB2312" w:eastAsia="仿宋_GB2312"/>
        </w:rPr>
        <w:t>7、无重大违法记录的书面声明：提供参加政府采购活动前三年内在经营活动中没有重大违法记录的书面声明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陕西开放大学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西安市长安区郭杜北街19号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陕西开放大学经办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029-81896973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胡荣、马子啸、程钰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采购包1：473,364.80元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包1成交供应商在收到成交通知书后五(5)个日历日内，向陕西教育招标有限责任公司交纳招标代理服务费捌仟元整（8000元），招标代理服务费采用现金、电汇或银行转账方式交纳。（开户名称：陕西教育招标有限责任公司、开户银行：中国光大银行陕西自贸试验区西安唐延路支 行、账号：78580188000058925、银行行号：303 791000136，财务电话：029-88224928）。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踏勘时间：2025-12-22 14:30:00</w:t>
            </w:r>
          </w:p>
          <w:p>
            <w:pPr>
              <w:pStyle w:val="null3"/>
              <w:ind w:firstLine="975"/>
            </w:pPr>
            <w:r>
              <w:rPr>
                <w:rFonts w:ascii="仿宋_GB2312" w:hAnsi="仿宋_GB2312" w:cs="仿宋_GB2312" w:eastAsia="仿宋_GB2312"/>
              </w:rPr>
              <w:t>踏勘地点：西安市长安区郭杜北街19号</w:t>
            </w:r>
          </w:p>
          <w:p>
            <w:pPr>
              <w:pStyle w:val="null3"/>
              <w:ind w:firstLine="975"/>
            </w:pPr>
            <w:r>
              <w:rPr>
                <w:rFonts w:ascii="仿宋_GB2312" w:hAnsi="仿宋_GB2312" w:cs="仿宋_GB2312" w:eastAsia="仿宋_GB2312"/>
              </w:rPr>
              <w:t>联系人：胡荣</w:t>
            </w:r>
          </w:p>
          <w:p>
            <w:pPr>
              <w:pStyle w:val="null3"/>
              <w:ind w:firstLine="975"/>
            </w:pPr>
            <w:r>
              <w:rPr>
                <w:rFonts w:ascii="仿宋_GB2312" w:hAnsi="仿宋_GB2312" w:cs="仿宋_GB2312" w:eastAsia="仿宋_GB2312"/>
              </w:rPr>
              <w:t>联系电话号码：15929961939</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陕西开放大学</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陕西开放大学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陕西开放大学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符合国家相关质量验收标准及施工、质量验收规范要求，质量达到国家规定合格标准。以下为验收依据： 合同文本及合同补充文件（条款）； 产品的合法来源渠道证明文件、响应功能证明材料； 招标（采购）文件； 中标（成交）人的投标文件； 货物清单； 生产厂家的企业资质、货物的执行标准。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联系人：胡荣 程钰</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地址：陕西省西安市太白南路181号西部电子社区A座B区401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对酒店管理与数字化运营专业酒店管理信息系统实训室进行迁移、改造，主要为迁移软件及新增硬件设施设备、系统集成并对东504进行装修装饰。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473,364.80</w:t>
      </w:r>
    </w:p>
    <w:p>
      <w:pPr>
        <w:pStyle w:val="null3"/>
      </w:pPr>
      <w:r>
        <w:rPr>
          <w:rFonts w:ascii="仿宋_GB2312" w:hAnsi="仿宋_GB2312" w:cs="仿宋_GB2312" w:eastAsia="仿宋_GB2312"/>
        </w:rPr>
        <w:t>采购包最高限价（元）: 472,957.10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图形工作站、智慧云教师管理系统、服务器等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443,364.80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系统软件整体搬迁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次</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标的名称：图形工作站、智慧云教师管理系统、服务器等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246"/>
              <w:gridCol w:w="354"/>
              <w:gridCol w:w="1553"/>
              <w:gridCol w:w="169"/>
              <w:gridCol w:w="231"/>
            </w:tblGrid>
            <w:tr>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名称</w:t>
                  </w:r>
                </w:p>
              </w:tc>
              <w:tc>
                <w:tcPr>
                  <w:tcW w:type="dxa" w:w="15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规格参数</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学生桌</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钢木结构，双人位规格：</w:t>
                  </w:r>
                  <w:r>
                    <w:rPr>
                      <w:rFonts w:ascii="仿宋_GB2312" w:hAnsi="仿宋_GB2312" w:cs="仿宋_GB2312" w:eastAsia="仿宋_GB2312"/>
                      <w:sz w:val="21"/>
                    </w:rPr>
                    <w:t>1400*600*750mm，台面采用25mm厚实木颗粒板三胺双贴面板，颜色可选。四边1.5mmPVC封边，进口热熔胶粘接；桌架15mm*50mm*1.2mm矩形钢管，经模具折弯成蝴蝶型，内置网孔钢板焊接，桌中间与桌面下部设有钢板冲压U型走线槽，预留电源接口，桌架整体表面磷化喷塑处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学生凳</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方凳规格：左右</w:t>
                  </w:r>
                  <w:r>
                    <w:rPr>
                      <w:rFonts w:ascii="仿宋_GB2312" w:hAnsi="仿宋_GB2312" w:cs="仿宋_GB2312" w:eastAsia="仿宋_GB2312"/>
                      <w:sz w:val="21"/>
                    </w:rPr>
                    <w:t>340mm*前后240mm*上下450mm，钢木结构，凳面为25mm实木颗粒双贴面板，四边用1.5mm厚pvc封边，颜色同桌面。凳架为25mm*25mm方管焊接，凳面磷化喷涂处理，凳脚为防滑耐磨塑料垫。</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48</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教室管理系统</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right="105" w:firstLine="11"/>
                    <w:jc w:val="both"/>
                  </w:pPr>
                  <w:r>
                    <w:rPr>
                      <w:rFonts w:ascii="仿宋_GB2312" w:hAnsi="仿宋_GB2312" w:cs="仿宋_GB2312" w:eastAsia="仿宋_GB2312"/>
                      <w:sz w:val="21"/>
                    </w:rPr>
                    <w:t>1、为提高老师的授课体验根据教室实际情况灵活调整；</w:t>
                  </w:r>
                </w:p>
                <w:p>
                  <w:pPr>
                    <w:pStyle w:val="null3"/>
                    <w:spacing w:before="15"/>
                    <w:ind w:left="120" w:right="105"/>
                    <w:jc w:val="both"/>
                  </w:pPr>
                  <w:r>
                    <w:rPr>
                      <w:rFonts w:ascii="仿宋_GB2312" w:hAnsi="仿宋_GB2312" w:cs="仿宋_GB2312" w:eastAsia="仿宋_GB2312"/>
                      <w:sz w:val="21"/>
                    </w:rPr>
                    <w:t>2、为提高教学效果，老师可将自己的屏幕广播到所有/部分学生显示器上,可将优秀学生的屏幕广播到其它学生显示器上，更好地领悟教学内容；</w:t>
                  </w:r>
                </w:p>
                <w:p>
                  <w:pPr>
                    <w:pStyle w:val="null3"/>
                    <w:spacing w:before="15"/>
                    <w:ind w:left="120" w:right="165" w:firstLine="2"/>
                    <w:jc w:val="both"/>
                  </w:pPr>
                  <w:r>
                    <w:rPr>
                      <w:rFonts w:ascii="仿宋_GB2312" w:hAnsi="仿宋_GB2312" w:cs="仿宋_GB2312" w:eastAsia="仿宋_GB2312"/>
                      <w:sz w:val="21"/>
                    </w:rPr>
                    <w:t>3、支持教师在自己的机器上操作学生机；</w:t>
                  </w:r>
                </w:p>
                <w:p>
                  <w:pPr>
                    <w:pStyle w:val="null3"/>
                    <w:spacing w:before="30"/>
                    <w:ind w:left="120" w:right="105"/>
                    <w:jc w:val="both"/>
                  </w:pPr>
                  <w:r>
                    <w:rPr>
                      <w:rFonts w:ascii="仿宋_GB2312" w:hAnsi="仿宋_GB2312" w:cs="仿宋_GB2312" w:eastAsia="仿宋_GB2312"/>
                      <w:sz w:val="21"/>
                    </w:rPr>
                    <w:t>4、老师可以对所有学生的屏幕进行小屏查看，单屏展示不少于60个学生屏幕；</w:t>
                  </w:r>
                </w:p>
                <w:p>
                  <w:pPr>
                    <w:pStyle w:val="null3"/>
                    <w:spacing w:before="15"/>
                    <w:ind w:left="120" w:right="105" w:firstLine="1"/>
                    <w:jc w:val="both"/>
                  </w:pPr>
                  <w:r>
                    <w:rPr>
                      <w:rFonts w:ascii="仿宋_GB2312" w:hAnsi="仿宋_GB2312" w:cs="仿宋_GB2312" w:eastAsia="仿宋_GB2312"/>
                      <w:sz w:val="21"/>
                    </w:rPr>
                    <w:t>5、支持老师直接将文件发送到所有/部分学生，多文件一起提交；</w:t>
                  </w:r>
                </w:p>
                <w:p>
                  <w:pPr>
                    <w:pStyle w:val="null3"/>
                    <w:spacing w:before="15"/>
                    <w:ind w:left="120" w:right="105" w:firstLine="1"/>
                    <w:jc w:val="both"/>
                  </w:pPr>
                  <w:r>
                    <w:rPr>
                      <w:rFonts w:ascii="仿宋_GB2312" w:hAnsi="仿宋_GB2312" w:cs="仿宋_GB2312" w:eastAsia="仿宋_GB2312"/>
                      <w:sz w:val="21"/>
                    </w:rPr>
                    <w:t>6、为了针对不同类型学生进行查缺补漏，支持对学生分组教学功能；</w:t>
                  </w:r>
                </w:p>
                <w:p>
                  <w:pPr>
                    <w:pStyle w:val="null3"/>
                    <w:spacing w:before="15"/>
                    <w:ind w:left="120" w:right="165" w:firstLine="6"/>
                    <w:jc w:val="both"/>
                  </w:pPr>
                  <w:r>
                    <w:rPr>
                      <w:rFonts w:ascii="仿宋_GB2312" w:hAnsi="仿宋_GB2312" w:cs="仿宋_GB2312" w:eastAsia="仿宋_GB2312"/>
                      <w:sz w:val="21"/>
                    </w:rPr>
                    <w:t>7、学生机进行锁定，学生机端键盘及鼠标都被锁死；</w:t>
                  </w:r>
                </w:p>
                <w:p>
                  <w:pPr>
                    <w:pStyle w:val="null3"/>
                    <w:spacing w:before="30"/>
                    <w:ind w:left="120" w:right="120"/>
                    <w:jc w:val="both"/>
                  </w:pPr>
                  <w:r>
                    <w:rPr>
                      <w:rFonts w:ascii="仿宋_GB2312" w:hAnsi="仿宋_GB2312" w:cs="仿宋_GB2312" w:eastAsia="仿宋_GB2312"/>
                      <w:sz w:val="21"/>
                    </w:rPr>
                    <w:t>8、学生可点击举手图标举手，可禁止和恢复学生举手，保障顺利教学；</w:t>
                  </w:r>
                </w:p>
                <w:p>
                  <w:pPr>
                    <w:pStyle w:val="null3"/>
                    <w:spacing w:before="30"/>
                    <w:ind w:left="135" w:right="165"/>
                    <w:jc w:val="both"/>
                  </w:pPr>
                  <w:r>
                    <w:rPr>
                      <w:rFonts w:ascii="仿宋_GB2312" w:hAnsi="仿宋_GB2312" w:cs="仿宋_GB2312" w:eastAsia="仿宋_GB2312"/>
                      <w:sz w:val="21"/>
                    </w:rPr>
                    <w:t>9、可禁止和恢复学生桌面的网络访问；</w:t>
                  </w:r>
                </w:p>
                <w:p>
                  <w:pPr>
                    <w:pStyle w:val="null3"/>
                    <w:spacing w:before="15"/>
                    <w:ind w:left="120" w:right="105" w:firstLine="15"/>
                    <w:jc w:val="both"/>
                  </w:pPr>
                  <w:r>
                    <w:rPr>
                      <w:rFonts w:ascii="仿宋_GB2312" w:hAnsi="仿宋_GB2312" w:cs="仿宋_GB2312" w:eastAsia="仿宋_GB2312"/>
                      <w:sz w:val="21"/>
                    </w:rPr>
                    <w:t>10、可禁止和恢复USB接口的使用，保证系统的安全性；</w:t>
                  </w:r>
                </w:p>
                <w:p>
                  <w:pPr>
                    <w:pStyle w:val="null3"/>
                    <w:spacing w:before="30"/>
                    <w:ind w:left="120" w:right="105" w:firstLine="13"/>
                    <w:jc w:val="both"/>
                  </w:pPr>
                  <w:r>
                    <w:rPr>
                      <w:rFonts w:ascii="仿宋_GB2312" w:hAnsi="仿宋_GB2312" w:cs="仿宋_GB2312" w:eastAsia="仿宋_GB2312"/>
                      <w:sz w:val="21"/>
                    </w:rPr>
                    <w:t>11、方便教师授课，支持一键开启学生终端；一键远程关闭学生终端和桌面。</w:t>
                  </w:r>
                </w:p>
                <w:p>
                  <w:pPr>
                    <w:pStyle w:val="null3"/>
                    <w:jc w:val="left"/>
                  </w:pPr>
                  <w:r>
                    <w:rPr>
                      <w:rFonts w:ascii="仿宋_GB2312" w:hAnsi="仿宋_GB2312" w:cs="仿宋_GB2312" w:eastAsia="仿宋_GB2312"/>
                      <w:sz w:val="21"/>
                    </w:rPr>
                    <w:t>12、为避免教学事故，支持离线教学演示，即当服务器故障时，教师端可以继续广播自己屏幕进行授课；</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教师</w:t>
                  </w:r>
                  <w:r>
                    <w:rPr>
                      <w:rFonts w:ascii="仿宋_GB2312" w:hAnsi="仿宋_GB2312" w:cs="仿宋_GB2312" w:eastAsia="仿宋_GB2312"/>
                      <w:sz w:val="21"/>
                    </w:rPr>
                    <w:t>+学生用图形工作站（核心产品）</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图形工作站：</w:t>
                  </w:r>
                </w:p>
                <w:p>
                  <w:pPr>
                    <w:pStyle w:val="null3"/>
                    <w:jc w:val="left"/>
                  </w:pPr>
                  <w:r>
                    <w:rPr>
                      <w:rFonts w:ascii="仿宋_GB2312" w:hAnsi="仿宋_GB2312" w:cs="仿宋_GB2312" w:eastAsia="仿宋_GB2312"/>
                      <w:sz w:val="21"/>
                    </w:rPr>
                    <w:t>屏幕尺寸：</w:t>
                  </w:r>
                  <w:r>
                    <w:rPr>
                      <w:rFonts w:ascii="仿宋_GB2312" w:hAnsi="仿宋_GB2312" w:cs="仿宋_GB2312" w:eastAsia="仿宋_GB2312"/>
                      <w:sz w:val="21"/>
                    </w:rPr>
                    <w:t>23.8寸， IPS</w:t>
                  </w:r>
                </w:p>
                <w:p>
                  <w:pPr>
                    <w:pStyle w:val="null3"/>
                    <w:jc w:val="left"/>
                  </w:pPr>
                  <w:r>
                    <w:rPr>
                      <w:rFonts w:ascii="仿宋_GB2312" w:hAnsi="仿宋_GB2312" w:cs="仿宋_GB2312" w:eastAsia="仿宋_GB2312"/>
                      <w:sz w:val="21"/>
                    </w:rPr>
                    <w:t>液晶面板，采用三面超窄边框设计，</w:t>
                  </w:r>
                </w:p>
                <w:p>
                  <w:pPr>
                    <w:pStyle w:val="null3"/>
                    <w:jc w:val="left"/>
                  </w:pPr>
                  <w:r>
                    <w:rPr>
                      <w:rFonts w:ascii="仿宋_GB2312" w:hAnsi="仿宋_GB2312" w:cs="仿宋_GB2312" w:eastAsia="仿宋_GB2312"/>
                      <w:sz w:val="21"/>
                    </w:rPr>
                    <w:t>分辨率</w:t>
                  </w:r>
                  <w:r>
                    <w:rPr>
                      <w:rFonts w:ascii="仿宋_GB2312" w:hAnsi="仿宋_GB2312" w:cs="仿宋_GB2312" w:eastAsia="仿宋_GB2312"/>
                      <w:sz w:val="21"/>
                    </w:rPr>
                    <w:t>1920×1080， 屏幕刷新率60HZ；</w:t>
                  </w:r>
                </w:p>
                <w:p>
                  <w:pPr>
                    <w:pStyle w:val="null3"/>
                    <w:jc w:val="left"/>
                  </w:pPr>
                  <w:r>
                    <w:rPr>
                      <w:rFonts w:ascii="仿宋_GB2312" w:hAnsi="仿宋_GB2312" w:cs="仿宋_GB2312" w:eastAsia="仿宋_GB2312"/>
                      <w:sz w:val="21"/>
                    </w:rPr>
                    <w:t>独立主机；</w:t>
                  </w:r>
                </w:p>
                <w:p>
                  <w:pPr>
                    <w:pStyle w:val="null3"/>
                    <w:jc w:val="left"/>
                  </w:pPr>
                  <w:r>
                    <w:rPr>
                      <w:rFonts w:ascii="仿宋_GB2312" w:hAnsi="仿宋_GB2312" w:cs="仿宋_GB2312" w:eastAsia="仿宋_GB2312"/>
                      <w:sz w:val="21"/>
                    </w:rPr>
                    <w:t>处理器：</w:t>
                  </w:r>
                  <w:r>
                    <w:rPr>
                      <w:rFonts w:ascii="仿宋_GB2312" w:hAnsi="仿宋_GB2312" w:cs="仿宋_GB2312" w:eastAsia="仿宋_GB2312"/>
                      <w:sz w:val="21"/>
                    </w:rPr>
                    <w:t>CPU性能inteli7-13700 十三代CPU，16核24线程，基频2.1GHz，睿频5.2GHz；三级缓存30M，处理器基础功耗：65W；</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16GB DDR4 2666MHZ支持双通道，可支持扩展B；</w:t>
                  </w:r>
                </w:p>
                <w:p>
                  <w:pPr>
                    <w:pStyle w:val="null3"/>
                    <w:jc w:val="left"/>
                  </w:pPr>
                  <w:r>
                    <w:rPr>
                      <w:rFonts w:ascii="仿宋_GB2312" w:hAnsi="仿宋_GB2312" w:cs="仿宋_GB2312" w:eastAsia="仿宋_GB2312"/>
                      <w:sz w:val="21"/>
                    </w:rPr>
                    <w:t>硬盘：</w:t>
                  </w:r>
                  <w:r>
                    <w:rPr>
                      <w:rFonts w:ascii="仿宋_GB2312" w:hAnsi="仿宋_GB2312" w:cs="仿宋_GB2312" w:eastAsia="仿宋_GB2312"/>
                      <w:sz w:val="21"/>
                    </w:rPr>
                    <w:t>512 固态SSD硬盘，可支持SATA扩展</w:t>
                  </w:r>
                </w:p>
                <w:p>
                  <w:pPr>
                    <w:pStyle w:val="null3"/>
                    <w:jc w:val="left"/>
                  </w:pPr>
                  <w:r>
                    <w:rPr>
                      <w:rFonts w:ascii="仿宋_GB2312" w:hAnsi="仿宋_GB2312" w:cs="仿宋_GB2312" w:eastAsia="仿宋_GB2312"/>
                      <w:sz w:val="21"/>
                    </w:rPr>
                    <w:t>网卡：集成</w:t>
                  </w:r>
                  <w:r>
                    <w:rPr>
                      <w:rFonts w:ascii="仿宋_GB2312" w:hAnsi="仿宋_GB2312" w:cs="仿宋_GB2312" w:eastAsia="仿宋_GB2312"/>
                      <w:sz w:val="21"/>
                    </w:rPr>
                    <w:t>10M/100M/1000M千兆以太网络控制器；</w:t>
                  </w:r>
                </w:p>
                <w:p>
                  <w:pPr>
                    <w:pStyle w:val="null3"/>
                    <w:jc w:val="left"/>
                  </w:pPr>
                  <w:r>
                    <w:rPr>
                      <w:rFonts w:ascii="仿宋_GB2312" w:hAnsi="仿宋_GB2312" w:cs="仿宋_GB2312" w:eastAsia="仿宋_GB2312"/>
                      <w:sz w:val="21"/>
                    </w:rPr>
                    <w:t>显卡：集成</w:t>
                  </w:r>
                  <w:r>
                    <w:rPr>
                      <w:rFonts w:ascii="仿宋_GB2312" w:hAnsi="仿宋_GB2312" w:cs="仿宋_GB2312" w:eastAsia="仿宋_GB2312"/>
                      <w:sz w:val="21"/>
                    </w:rPr>
                    <w:t>INTEL UHD Graphics 770；</w:t>
                  </w:r>
                </w:p>
                <w:p>
                  <w:pPr>
                    <w:pStyle w:val="null3"/>
                    <w:jc w:val="left"/>
                  </w:pPr>
                  <w:r>
                    <w:rPr>
                      <w:rFonts w:ascii="仿宋_GB2312" w:hAnsi="仿宋_GB2312" w:cs="仿宋_GB2312" w:eastAsia="仿宋_GB2312"/>
                      <w:sz w:val="21"/>
                    </w:rPr>
                    <w:t>电源</w:t>
                  </w:r>
                  <w:r>
                    <w:rPr>
                      <w:rFonts w:ascii="仿宋_GB2312" w:hAnsi="仿宋_GB2312" w:cs="仿宋_GB2312" w:eastAsia="仿宋_GB2312"/>
                      <w:sz w:val="21"/>
                    </w:rPr>
                    <w:t>:400W；</w:t>
                  </w:r>
                </w:p>
                <w:p>
                  <w:pPr>
                    <w:pStyle w:val="null3"/>
                    <w:jc w:val="left"/>
                  </w:pPr>
                  <w:r>
                    <w:rPr>
                      <w:rFonts w:ascii="仿宋_GB2312" w:hAnsi="仿宋_GB2312" w:cs="仿宋_GB2312" w:eastAsia="仿宋_GB2312"/>
                      <w:sz w:val="21"/>
                    </w:rPr>
                    <w:t>操作系统：</w:t>
                  </w:r>
                  <w:r>
                    <w:rPr>
                      <w:rFonts w:ascii="仿宋_GB2312" w:hAnsi="仿宋_GB2312" w:cs="仿宋_GB2312" w:eastAsia="仿宋_GB2312"/>
                      <w:sz w:val="21"/>
                    </w:rPr>
                    <w:t>WIN10/WIN11；</w:t>
                  </w:r>
                </w:p>
                <w:p>
                  <w:pPr>
                    <w:pStyle w:val="null3"/>
                    <w:jc w:val="left"/>
                  </w:pPr>
                  <w:r>
                    <w:rPr>
                      <w:rFonts w:ascii="仿宋_GB2312" w:hAnsi="仿宋_GB2312" w:cs="仿宋_GB2312" w:eastAsia="仿宋_GB2312"/>
                      <w:sz w:val="21"/>
                    </w:rPr>
                    <w:t>接口</w:t>
                  </w:r>
                  <w:r>
                    <w:rPr>
                      <w:rFonts w:ascii="仿宋_GB2312" w:hAnsi="仿宋_GB2312" w:cs="仿宋_GB2312" w:eastAsia="仿宋_GB2312"/>
                      <w:sz w:val="21"/>
                    </w:rPr>
                    <w:t>1×HDMI，1×DP，USB3×6，</w:t>
                  </w:r>
                </w:p>
                <w:p>
                  <w:pPr>
                    <w:pStyle w:val="null3"/>
                    <w:jc w:val="left"/>
                  </w:pPr>
                  <w:r>
                    <w:rPr>
                      <w:rFonts w:ascii="仿宋_GB2312" w:hAnsi="仿宋_GB2312" w:cs="仿宋_GB2312" w:eastAsia="仿宋_GB2312"/>
                      <w:sz w:val="21"/>
                    </w:rPr>
                    <w:t>RJ45千兆网络接口×1，LINE OUT×1；</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49</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服务器</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0"/>
                    <w:ind w:left="120" w:right="495"/>
                    <w:jc w:val="both"/>
                  </w:pPr>
                  <w:r>
                    <w:rPr>
                      <w:rFonts w:ascii="仿宋_GB2312" w:hAnsi="仿宋_GB2312" w:cs="仿宋_GB2312" w:eastAsia="仿宋_GB2312"/>
                      <w:sz w:val="21"/>
                    </w:rPr>
                    <w:t>CPU：Intel至强Silver4509Y2.6Ghz8核心；</w:t>
                  </w:r>
                </w:p>
                <w:p>
                  <w:pPr>
                    <w:pStyle w:val="null3"/>
                    <w:ind w:left="135"/>
                    <w:jc w:val="both"/>
                  </w:pPr>
                  <w:r>
                    <w:rPr>
                      <w:rFonts w:ascii="仿宋_GB2312" w:hAnsi="仿宋_GB2312" w:cs="仿宋_GB2312" w:eastAsia="仿宋_GB2312"/>
                      <w:sz w:val="21"/>
                    </w:rPr>
                    <w:t>内存：配置</w:t>
                  </w:r>
                  <w:r>
                    <w:rPr>
                      <w:rFonts w:ascii="仿宋_GB2312" w:hAnsi="仿宋_GB2312" w:cs="仿宋_GB2312" w:eastAsia="仿宋_GB2312"/>
                      <w:sz w:val="21"/>
                    </w:rPr>
                    <w:t>≥64GB内存DDR5；</w:t>
                  </w:r>
                </w:p>
                <w:p>
                  <w:pPr>
                    <w:pStyle w:val="null3"/>
                    <w:spacing w:before="15"/>
                    <w:ind w:left="135" w:right="165"/>
                    <w:jc w:val="both"/>
                  </w:pPr>
                  <w:r>
                    <w:rPr>
                      <w:rFonts w:ascii="仿宋_GB2312" w:hAnsi="仿宋_GB2312" w:cs="仿宋_GB2312" w:eastAsia="仿宋_GB2312"/>
                      <w:sz w:val="21"/>
                    </w:rPr>
                    <w:t>硬盘：配置硬盘数</w:t>
                  </w:r>
                  <w:r>
                    <w:rPr>
                      <w:rFonts w:ascii="仿宋_GB2312" w:hAnsi="仿宋_GB2312" w:cs="仿宋_GB2312" w:eastAsia="仿宋_GB2312"/>
                      <w:sz w:val="21"/>
                    </w:rPr>
                    <w:t>≥2块，单盘容量≥1.2T，</w:t>
                  </w:r>
                </w:p>
                <w:p>
                  <w:pPr>
                    <w:pStyle w:val="null3"/>
                    <w:ind w:left="135" w:right="105"/>
                    <w:jc w:val="both"/>
                  </w:pPr>
                  <w:r>
                    <w:rPr>
                      <w:rFonts w:ascii="仿宋_GB2312" w:hAnsi="仿宋_GB2312" w:cs="仿宋_GB2312" w:eastAsia="仿宋_GB2312"/>
                      <w:sz w:val="21"/>
                    </w:rPr>
                    <w:t>RAID卡：(链路支持12G,需支持RAID0、RAID1、RAID5、RAID6、RAID10等，≥4Gcache)*1；</w:t>
                  </w:r>
                </w:p>
                <w:p>
                  <w:pPr>
                    <w:pStyle w:val="null3"/>
                    <w:jc w:val="left"/>
                  </w:pPr>
                  <w:r>
                    <w:rPr>
                      <w:rFonts w:ascii="仿宋_GB2312" w:hAnsi="仿宋_GB2312" w:cs="仿宋_GB2312" w:eastAsia="仿宋_GB2312"/>
                      <w:sz w:val="21"/>
                    </w:rPr>
                    <w:t>网卡：配置</w:t>
                  </w:r>
                  <w:r>
                    <w:rPr>
                      <w:rFonts w:ascii="仿宋_GB2312" w:hAnsi="仿宋_GB2312" w:cs="仿宋_GB2312" w:eastAsia="仿宋_GB2312"/>
                      <w:sz w:val="21"/>
                    </w:rPr>
                    <w:t>≥2端口千兆网口；配置冗余热插拔电源，单电源额定功率长期工作环境温度支持5-40度；</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路由器</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机架式</w:t>
                  </w:r>
                  <w:r>
                    <w:rPr>
                      <w:rFonts w:ascii="仿宋_GB2312" w:hAnsi="仿宋_GB2312" w:cs="仿宋_GB2312" w:eastAsia="仿宋_GB2312"/>
                      <w:sz w:val="21"/>
                    </w:rPr>
                    <w:t>5口千兆路由器V2，固化5个千兆电口，推荐带终端数200台，支持600M-1000M(开启极速模式时1000M，流控、认证等功能不能使用。)，内置AC功能，支持EasyVPN、IPSecVPN、OPENVPN，支持PPPoEServer、扫码认证、授权认证，支持应用流控、应用阻断，支持睿易MACC云平台与睿易APP管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交换机</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1、二层管理型交换机;</w:t>
                  </w:r>
                  <w:r>
                    <w:br/>
                  </w:r>
                  <w:r>
                    <w:rPr>
                      <w:rFonts w:ascii="仿宋_GB2312" w:hAnsi="仿宋_GB2312" w:cs="仿宋_GB2312" w:eastAsia="仿宋_GB2312"/>
                      <w:sz w:val="21"/>
                    </w:rPr>
                    <w:t>2、交换客量≧792Gbps/≧7.92Tbps，包转发率≧288Mpps:</w:t>
                  </w:r>
                  <w:r>
                    <w:br/>
                  </w:r>
                  <w:r>
                    <w:rPr>
                      <w:rFonts w:ascii="仿宋_GB2312" w:hAnsi="仿宋_GB2312" w:cs="仿宋_GB2312" w:eastAsia="仿宋_GB2312"/>
                      <w:sz w:val="21"/>
                    </w:rPr>
                    <w:t>3、≧48个10/100/1000M自适应电口，≧4个千兆SFP光口:</w:t>
                  </w:r>
                  <w:r>
                    <w:br/>
                  </w:r>
                  <w:r>
                    <w:rPr>
                      <w:rFonts w:ascii="仿宋_GB2312" w:hAnsi="仿宋_GB2312" w:cs="仿宋_GB2312" w:eastAsia="仿宋_GB2312"/>
                      <w:sz w:val="21"/>
                    </w:rPr>
                    <w:t>4、支持VLAN、QinQ、STP/RSTP/MSTP等协议:</w:t>
                  </w:r>
                  <w:r>
                    <w:br/>
                  </w:r>
                  <w:r>
                    <w:rPr>
                      <w:rFonts w:ascii="仿宋_GB2312" w:hAnsi="仿宋_GB2312" w:cs="仿宋_GB2312" w:eastAsia="仿宋_GB2312"/>
                      <w:sz w:val="21"/>
                    </w:rPr>
                    <w:t>5、支持云平台管理;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交换机</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1、二层管理型交换机;</w:t>
                  </w:r>
                  <w:r>
                    <w:br/>
                  </w:r>
                  <w:r>
                    <w:rPr>
                      <w:rFonts w:ascii="仿宋_GB2312" w:hAnsi="仿宋_GB2312" w:cs="仿宋_GB2312" w:eastAsia="仿宋_GB2312"/>
                      <w:sz w:val="21"/>
                    </w:rPr>
                    <w:t>2、交换客量≧792Gbps/≧7.92Tbps，包转发率≧288Mpps:</w:t>
                  </w:r>
                  <w:r>
                    <w:br/>
                  </w:r>
                  <w:r>
                    <w:rPr>
                      <w:rFonts w:ascii="仿宋_GB2312" w:hAnsi="仿宋_GB2312" w:cs="仿宋_GB2312" w:eastAsia="仿宋_GB2312"/>
                      <w:sz w:val="21"/>
                    </w:rPr>
                    <w:t>3、≧16个10/100/1000M自适应电口，≧2个千兆SFP光口:</w:t>
                  </w:r>
                  <w:r>
                    <w:br/>
                  </w:r>
                  <w:r>
                    <w:rPr>
                      <w:rFonts w:ascii="仿宋_GB2312" w:hAnsi="仿宋_GB2312" w:cs="仿宋_GB2312" w:eastAsia="仿宋_GB2312"/>
                      <w:sz w:val="21"/>
                    </w:rPr>
                    <w:t>4、支持VLAN、QinQ、STP/RSTP/MSTP等协议:</w:t>
                  </w:r>
                  <w:r>
                    <w:br/>
                  </w:r>
                  <w:r>
                    <w:rPr>
                      <w:rFonts w:ascii="仿宋_GB2312" w:hAnsi="仿宋_GB2312" w:cs="仿宋_GB2312" w:eastAsia="仿宋_GB2312"/>
                      <w:sz w:val="21"/>
                    </w:rPr>
                    <w:t>5、支持云平台管理;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机柜</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22U机柜，1200mm*600mm*1000mm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防静电地板</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PVC防静电地板600*600*35，均布载荷NM≧12500；国家A级：不燃；ASTME84-01:</w:t>
                  </w:r>
                  <w:r>
                    <w:br/>
                  </w:r>
                  <w:r>
                    <w:rPr>
                      <w:rFonts w:ascii="仿宋_GB2312" w:hAnsi="仿宋_GB2312" w:cs="仿宋_GB2312" w:eastAsia="仿宋_GB2312"/>
                      <w:sz w:val="21"/>
                    </w:rPr>
                    <w:t>全钢组件，承载能力高，抗冲击性强。</w:t>
                  </w:r>
                  <w:r>
                    <w:br/>
                  </w:r>
                  <w:r>
                    <w:rPr>
                      <w:rFonts w:ascii="仿宋_GB2312" w:hAnsi="仿宋_GB2312" w:cs="仿宋_GB2312" w:eastAsia="仿宋_GB2312"/>
                      <w:sz w:val="21"/>
                    </w:rPr>
                    <w:t>稳固性及防火性能好，隔音表面平整，高耐磨、耐污染、耐腐蚀。制造精度高，组装方便，互换性好。全钢地板表面粘贴</w:t>
                  </w:r>
                  <w:r>
                    <w:rPr>
                      <w:rFonts w:ascii="仿宋_GB2312" w:hAnsi="仿宋_GB2312" w:cs="仿宋_GB2312" w:eastAsia="仿宋_GB2312"/>
                      <w:sz w:val="21"/>
                    </w:rPr>
                    <w:t>PVC贴面，充分利用塑料粒子界面间形成的导静电网络，使其具有永久性防静电功能。</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71.28</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平方</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网线</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六类网线</w:t>
                  </w:r>
                  <w:r>
                    <w:rPr>
                      <w:rFonts w:ascii="仿宋_GB2312" w:hAnsi="仿宋_GB2312" w:cs="仿宋_GB2312" w:eastAsia="仿宋_GB2312"/>
                      <w:sz w:val="21"/>
                    </w:rPr>
                    <w:t>305m/箱</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电源线</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4平方线缆（包含零线火线地线）</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桥架</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地铺桥架</w:t>
                  </w:r>
                  <w:r>
                    <w:rPr>
                      <w:rFonts w:ascii="仿宋_GB2312" w:hAnsi="仿宋_GB2312" w:cs="仿宋_GB2312" w:eastAsia="仿宋_GB2312"/>
                      <w:sz w:val="21"/>
                    </w:rPr>
                    <w:t>200mm*100mm</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14</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软管</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Φ32</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15</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插板</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8位总控</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16</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电缆</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3*6电缆，</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米</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17</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配电箱</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总空开、分空开、漏电保护器、状态指示灯等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技术服务费</w:t>
                  </w:r>
                </w:p>
              </w:tc>
              <w:tc>
                <w:tcPr>
                  <w:tcW w:type="dxa" w:w="15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包含设备安装，调试，综合布线等</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rFonts w:ascii="仿宋_GB2312" w:hAnsi="仿宋_GB2312" w:cs="仿宋_GB2312" w:eastAsia="仿宋_GB2312"/>
                <w:sz w:val="21"/>
                <w:b/>
              </w:rPr>
              <w:t>备注：本项目的分项报价分为两部分，第一部分《原中软好泰酒店信息管理系统整体迁移》及</w:t>
            </w:r>
            <w:r>
              <w:rPr>
                <w:rFonts w:ascii="仿宋_GB2312" w:hAnsi="仿宋_GB2312" w:cs="仿宋_GB2312" w:eastAsia="仿宋_GB2312"/>
                <w:sz w:val="21"/>
                <w:b/>
              </w:rPr>
              <w:t>1-9项货物和服务类最高限价为414300.00元人民币，货物不超过384300元人名币；搬迁服务不超过30000元人民币，要求按照分项报价表格式填写，第二部分10-18项工程类最高限价为58657.1元人民币，工程量清单各供应商提供广联达版本的报价格式提交，具体详见附件。</w:t>
            </w:r>
          </w:p>
        </w:tc>
      </w:tr>
    </w:tbl>
    <w:p>
      <w:pPr>
        <w:pStyle w:val="null3"/>
      </w:pPr>
      <w:r>
        <w:rPr>
          <w:rFonts w:ascii="仿宋_GB2312" w:hAnsi="仿宋_GB2312" w:cs="仿宋_GB2312" w:eastAsia="仿宋_GB2312"/>
        </w:rPr>
        <w:t>标的名称：系统软件整体搬迁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276"/>
              <w:gridCol w:w="1276"/>
            </w:tblGrid>
            <w:tr>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tbl>
                  <w:tblPr>
                    <w:tblBorders>
                      <w:top w:val="none" w:color="000000" w:sz="4"/>
                      <w:left w:val="none" w:color="000000" w:sz="4"/>
                      <w:bottom w:val="none" w:color="000000" w:sz="4"/>
                      <w:right w:val="none" w:color="000000" w:sz="4"/>
                      <w:insideH w:val="none"/>
                      <w:insideV w:val="none"/>
                    </w:tblBorders>
                  </w:tblPr>
                  <w:tblGrid>
                    <w:gridCol w:w="102"/>
                    <w:gridCol w:w="147"/>
                    <w:gridCol w:w="645"/>
                    <w:gridCol w:w="70"/>
                    <w:gridCol w:w="96"/>
                  </w:tblGrid>
                  <w:tr>
                    <w:tc>
                      <w:tcPr>
                        <w:tcW w:type="dxa" w:w="1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rFonts w:ascii="仿宋_GB2312" w:hAnsi="仿宋_GB2312" w:cs="仿宋_GB2312" w:eastAsia="仿宋_GB2312"/>
                            <w:sz w:val="21"/>
                          </w:rPr>
                          <w:t>名称</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规格参数</w:t>
                        </w:r>
                      </w:p>
                    </w:tc>
                    <w:tc>
                      <w:tcPr>
                        <w:tcW w:type="dxa" w:w="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原中软好泰酒店信息管理系统整体迁移</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原中软好泰酒店信息管理系统整体迁移：全程负责软件从西</w:t>
                        </w:r>
                        <w:r>
                          <w:rPr>
                            <w:rFonts w:ascii="仿宋_GB2312" w:hAnsi="仿宋_GB2312" w:cs="仿宋_GB2312" w:eastAsia="仿宋_GB2312"/>
                            <w:sz w:val="21"/>
                          </w:rPr>
                          <w:t>307实训室到东504实训室的迁移，包含新服务器数据库安装调试，迁移系统的安装调试及数据整合迁移处理服务。</w:t>
                        </w:r>
                      </w:p>
                    </w:tc>
                    <w:tc>
                      <w:tcPr>
                        <w:tcW w:type="dxa" w:w="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bl>
                <w:p>
                  <w:pPr>
                    <w:pStyle w:val="null3"/>
                  </w:pPr>
                  <w:r>
                    <w:rPr>
                      <w:rFonts w:ascii="仿宋_GB2312" w:hAnsi="仿宋_GB2312" w:cs="仿宋_GB2312" w:eastAsia="仿宋_GB2312"/>
                      <w:sz w:val="21"/>
                      <w:b/>
                    </w:rPr>
                    <w:t>备注：本项目的分项报价分为两部分，第一部分《原中软好泰酒店信息管理系统整体迁移》及</w:t>
                  </w:r>
                  <w:r>
                    <w:rPr>
                      <w:rFonts w:ascii="仿宋_GB2312" w:hAnsi="仿宋_GB2312" w:cs="仿宋_GB2312" w:eastAsia="仿宋_GB2312"/>
                      <w:sz w:val="21"/>
                      <w:b/>
                    </w:rPr>
                    <w:t>1-9项货物和服务类最高限价为414300.00元人民币，要求按照分项报价表格式填写，第二部分10-18项工程类最高限价为58657.1元人民币，工程量清单各供应商提供广联达版本的报价格式提交，具体详见附件。</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自签订合同之日起3个月内。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本项目指定地点（采购人指定）</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项目经验收合格后，卖方持《验收合格单》原件和全额增值税专用发票在买方处办理产品技术要求中的货物及服务类支付手续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项目经验收合格并审计结束后，根据实际工程量据实结算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项目验收分初验和终验： （1）初验：货物到达交货地点后，由项目使用（实施）部门根据合同对货物的名称、品牌、规格、型号、产地、数量等进行检查。 终验：所有货物安装、调试完毕，由资产设备处组织终验，合格后签发《终验合格单》。 按乙方投标文件的承诺，并不低于国家相关标准。对于乙方要交付的服务，甲乙双方须在工作日内初验收，甲方对乙方提交的服务依据招标文件上的技术要求和国家有关质量标准进行现场初步验收，外观、说明书、包装符合招标文件技术要求的，给予签收，初步验收不合格的不予签收。 （2）验收依据：根据招标文件要求、投标文件及合同约定执行。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安装、调试正常运行并验收合格之日起：免费质保三年，维修响应时间为2小时，48小时达到现场；保修期外，仅收取维修配件费和差旅费，无人工费、维修费，并且保修期内提供至少2次工程师保养和检修；免费保修期内，同一主要部件出现质量问题经过两次维修后仍无法正常使用，可以更换同型号、同规格的产品，对问题较大短期内暂不能解决的，厂家提供替代产品，确保设备正常运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按照采购文件及合同约定执行。 （1）按《中华人民共和国民法典》中的相关条款执行。 （2）未按合同要求提供产品或服务质量不能满足技术要求，采购人有权终止（或解除）合同，并对中标供应商违约行为进行追究。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核心产品：教师+学生用图形工作站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法定代表人授权书（证明书）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十二个月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提供投标响应文件递交截止时间前近十二个月内至少一个月已缴纳的纳税凭据或完税证明；依法免税的供应商应提供相关文件证明。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提供投标响应文件截止时间前十二个月内已缴存的至少一个月的社会保障资金缴存单据或社保机构开具的社会保险参保缴费情况证明，依法不需要缴纳社会保障资金的单位应提供相关证明材料。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具有履行本合同所必需的设备和专业技术能力的承诺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投标有效期不足90天的，投标无效。</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投标报价高于招标文件公布的采购预算或最高限价的，投标无效。</w:t>
            </w:r>
          </w:p>
        </w:tc>
        <w:tc>
          <w:tcPr>
            <w:tcW w:type="dxa" w:w="1661"/>
          </w:tcPr>
          <w:p>
            <w:pPr>
              <w:pStyle w:val="null3"/>
            </w:pPr>
            <w:r>
              <w:rPr>
                <w:rFonts w:ascii="仿宋_GB2312" w:hAnsi="仿宋_GB2312" w:cs="仿宋_GB2312" w:eastAsia="仿宋_GB2312"/>
              </w:rPr>
              <w:t>投标分项报价表.docx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不满足招标文件“3.4商务要求”的，投标无效。</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w:t>
            </w:r>
          </w:p>
        </w:tc>
        <w:tc>
          <w:tcPr>
            <w:tcW w:type="dxa" w:w="2492"/>
          </w:tcPr>
          <w:p>
            <w:pPr>
              <w:pStyle w:val="null3"/>
            </w:pPr>
            <w:r>
              <w:rPr>
                <w:rFonts w:ascii="仿宋_GB2312" w:hAnsi="仿宋_GB2312" w:cs="仿宋_GB2312" w:eastAsia="仿宋_GB2312"/>
              </w:rPr>
              <w:t>根据投标人所投产品的产品技术资料、生产厂家出具的产品质量证书、相应功能证明材料（提供相关证明文件并加盖供应商鲜章，包括但不限于软件证书，检测报告，官网，功能截图等）等佐证材料，从设备的技术指标、配置、性能等多方面因素进行评价。 完全满足招标文件要求得20分，每正偏离一项得1分，满分不超过25分，每负偏离一项扣1分。 无响应不得分。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技术产品证明材料.docx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投标人提供所投第三章《技术要求》中产品的合法来源渠道证明文件，满分 3 分，不提供不得分。 以下资料提供任意一种： 1、如投标人为所投产品代理商：提供货物的合法来源渠道证明文件（例如：产品制造商授权、销售协议、代理协议等证明文件），每提供一份证明文件得0.5分，满分3分。 2、如投标人为所投产品的制造商：需提供情况说明（说明某一项产品为制造商自己生产），情况说明每涉及一项产品得0.5分，满分3分。 备注：以加盖投标人公章的证明材料复印件为计分依据。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产品合法来源渠道证明材料.docx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一、评审内容根据本项目实际需求及特点，制定实施方案，实施方案内容包 含①供货组织安排②供货进度计划③安装调试及验收方案④物力调配及保障措施。 二、评审标准 1、完整性：方案必须全面，对评审内容中的各项要求有详细描述； 2、可实施性：切合本项目实际情况，提出步骤清晰、合理的方案； 3、针对性：方案能够紧扣项目实际情况， 内容科学合理。 三、赋分标准（满分12分） ①供货组织安排：完全满足每个评审标准得1分，有瑕疵得0.5分，有缺陷得0分。满分3分； ②供货进度计划:完全满足每个评审标准得1分，有瑕疵得0.5分，有缺陷得0分。满分3分； ③安装调试及验收方案:完全满足每个评审标准得1分，有瑕疵得0.5分，有缺陷得0分。满分3分； ④物力调配及保障措施:完全满足每个评审标准得1分，有瑕疵得0.5分，有缺陷得0分。满分3分。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实施方案证明材料.docx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一、评审内容根据项目实际需要，制定与本次采购产品相配套的培训方案，方案内容包括：①培训目标及计划②培训内容及方式。 二、评审标准 1、完整性：方案必须全面，对评审内容中的各项要求有详细描 述； 2、可实施性：切合本项目实际情况，提出步骤清晰、合理的方 案； 3、针对性：方案能够紧扣项目实际情况， 内容科学合理。 三、赋分标准（满分 6 分） ①培训目标及计划：完全满足每个评审标准得1分，有瑕疵得0.5分，有缺陷得0分。满分3分； ②培训内容及方式:完全满足每个评审标准得1分，有瑕疵得0.5分，有缺陷得0分。满分3分。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一、评审内容根据项目实际需求，提供针对本项目的售后服务方案，方案内容包含①售后服务范围及保障措施②响应时间③故障处理及补救措施。 二、评审标准 1、完整性：方案必须全面，对评审内容中的各项要求有详细描述；2、可实施性：切合本项目实际情况，提出步骤清晰、合理的方 案； 3、针对性：方案能够紧扣项目实际情况， 内容科学合理。 三、赋分标准（满分9分） ①售后服务范围及保障措施：完全满足每个评审标准得1分，有瑕疵得0.5分，有缺陷得0分。满分3分； ②响应时间:完全满足每个评审标准得1分，有瑕疵得0.5分，有缺陷得0分。满分3分； ③故障处理及补救措施:完全满足每个评审标准得1分，有瑕疵得0.5分，有缺陷得0分。满分3分。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售后服务证明材料.docx</w:t>
            </w:r>
          </w:p>
        </w:tc>
      </w:tr>
      <w:tr>
        <w:tc>
          <w:tcPr>
            <w:tcW w:type="dxa" w:w="831"/>
            <w:vMerge/>
          </w:tcPr>
          <w:p/>
        </w:tc>
        <w:tc>
          <w:tcPr>
            <w:tcW w:type="dxa" w:w="1661"/>
          </w:tcPr>
          <w:p>
            <w:pPr>
              <w:pStyle w:val="null3"/>
            </w:pPr>
            <w:r>
              <w:rPr>
                <w:rFonts w:ascii="仿宋_GB2312" w:hAnsi="仿宋_GB2312" w:cs="仿宋_GB2312" w:eastAsia="仿宋_GB2312"/>
              </w:rPr>
              <w:t>技术力量</w:t>
            </w:r>
          </w:p>
        </w:tc>
        <w:tc>
          <w:tcPr>
            <w:tcW w:type="dxa" w:w="2492"/>
          </w:tcPr>
          <w:p>
            <w:pPr>
              <w:pStyle w:val="null3"/>
            </w:pPr>
            <w:r>
              <w:rPr>
                <w:rFonts w:ascii="仿宋_GB2312" w:hAnsi="仿宋_GB2312" w:cs="仿宋_GB2312" w:eastAsia="仿宋_GB2312"/>
              </w:rPr>
              <w:t>供应商具有质量管理体系认证证书、职业健康安全管理体系认证证书、环境管理体系认证证书，每提供一个计1分，满分3分，未提供不得分。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技术力量证明材料.docx</w:t>
            </w:r>
          </w:p>
        </w:tc>
      </w:tr>
      <w:tr>
        <w:tc>
          <w:tcPr>
            <w:tcW w:type="dxa" w:w="831"/>
            <w:vMerge/>
          </w:tcPr>
          <w:p/>
        </w:tc>
        <w:tc>
          <w:tcPr>
            <w:tcW w:type="dxa" w:w="1661"/>
          </w:tcPr>
          <w:p>
            <w:pPr>
              <w:pStyle w:val="null3"/>
            </w:pPr>
            <w:r>
              <w:rPr>
                <w:rFonts w:ascii="仿宋_GB2312" w:hAnsi="仿宋_GB2312" w:cs="仿宋_GB2312" w:eastAsia="仿宋_GB2312"/>
              </w:rPr>
              <w:t>节能环境标志 产品</w:t>
            </w:r>
          </w:p>
        </w:tc>
        <w:tc>
          <w:tcPr>
            <w:tcW w:type="dxa" w:w="2492"/>
          </w:tcPr>
          <w:p>
            <w:pPr>
              <w:pStyle w:val="null3"/>
            </w:pPr>
            <w:r>
              <w:rPr>
                <w:rFonts w:ascii="仿宋_GB2312" w:hAnsi="仿宋_GB2312" w:cs="仿宋_GB2312" w:eastAsia="仿宋_GB2312"/>
              </w:rPr>
              <w:t>所投产品为“节能产品政府采购品目清单（非强制采购产品）”或“环境标志产品政府采购品目清单”内的，应提供该产品由国家确定的认证机构出具的节能产品认证证书或中国环境标志产品认证证书且处于有效期内的，每提供一个得 0.5 分，满分 2 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供应商提供2022年1月1日至今类似项目业绩证明（以合同签订日期为准，提供合同复印件）进行评定 , 每份计2分，最高计10分。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有效投标人的最低报价（落实政府采购政策进行价格调整的，以调整后的价格计算）为基准价得30分，其他各投标人的报价得分按下列公式计算：（基准价/投标报价）×30％×100。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详见附件：产品合法来源渠道证明材料.docx</w:t>
      </w:r>
    </w:p>
    <w:p>
      <w:pPr>
        <w:pStyle w:val="null3"/>
        <w:ind w:firstLine="960"/>
      </w:pPr>
      <w:r>
        <w:rPr>
          <w:rFonts w:ascii="仿宋_GB2312" w:hAnsi="仿宋_GB2312" w:cs="仿宋_GB2312" w:eastAsia="仿宋_GB2312"/>
        </w:rPr>
        <w:t>详见附件：技术产品证明材料.docx</w:t>
      </w:r>
    </w:p>
    <w:p>
      <w:pPr>
        <w:pStyle w:val="null3"/>
        <w:ind w:firstLine="960"/>
      </w:pPr>
      <w:r>
        <w:rPr>
          <w:rFonts w:ascii="仿宋_GB2312" w:hAnsi="仿宋_GB2312" w:cs="仿宋_GB2312" w:eastAsia="仿宋_GB2312"/>
        </w:rPr>
        <w:t>详见附件：技术力量证明材料.docx</w:t>
      </w:r>
    </w:p>
    <w:p>
      <w:pPr>
        <w:pStyle w:val="null3"/>
        <w:ind w:firstLine="960"/>
      </w:pPr>
      <w:r>
        <w:rPr>
          <w:rFonts w:ascii="仿宋_GB2312" w:hAnsi="仿宋_GB2312" w:cs="仿宋_GB2312" w:eastAsia="仿宋_GB2312"/>
        </w:rPr>
        <w:t>详见附件：节能环保证明材料.docx</w:t>
      </w:r>
    </w:p>
    <w:p>
      <w:pPr>
        <w:pStyle w:val="null3"/>
        <w:ind w:firstLine="960"/>
      </w:pPr>
      <w:r>
        <w:rPr>
          <w:rFonts w:ascii="仿宋_GB2312" w:hAnsi="仿宋_GB2312" w:cs="仿宋_GB2312" w:eastAsia="仿宋_GB2312"/>
        </w:rPr>
        <w:t>详见附件：类似业绩证明材料.docx</w:t>
      </w:r>
    </w:p>
    <w:p>
      <w:pPr>
        <w:pStyle w:val="null3"/>
        <w:ind w:firstLine="960"/>
      </w:pPr>
      <w:r>
        <w:rPr>
          <w:rFonts w:ascii="仿宋_GB2312" w:hAnsi="仿宋_GB2312" w:cs="仿宋_GB2312" w:eastAsia="仿宋_GB2312"/>
        </w:rPr>
        <w:t>详见附件：满足政府采购法第二十二条证明材料.docx</w:t>
      </w:r>
    </w:p>
    <w:p>
      <w:pPr>
        <w:pStyle w:val="null3"/>
        <w:ind w:firstLine="960"/>
      </w:pPr>
      <w:r>
        <w:rPr>
          <w:rFonts w:ascii="仿宋_GB2312" w:hAnsi="仿宋_GB2312" w:cs="仿宋_GB2312" w:eastAsia="仿宋_GB2312"/>
        </w:rPr>
        <w:t>详见附件：培训方案证明材料.docx</w:t>
      </w:r>
    </w:p>
    <w:p>
      <w:pPr>
        <w:pStyle w:val="null3"/>
        <w:ind w:firstLine="960"/>
      </w:pPr>
      <w:r>
        <w:rPr>
          <w:rFonts w:ascii="仿宋_GB2312" w:hAnsi="仿宋_GB2312" w:cs="仿宋_GB2312" w:eastAsia="仿宋_GB2312"/>
        </w:rPr>
        <w:t>详见附件：实施方案证明材料.docx</w:t>
      </w:r>
    </w:p>
    <w:p>
      <w:pPr>
        <w:pStyle w:val="null3"/>
        <w:ind w:firstLine="960"/>
      </w:pPr>
      <w:r>
        <w:rPr>
          <w:rFonts w:ascii="仿宋_GB2312" w:hAnsi="仿宋_GB2312" w:cs="仿宋_GB2312" w:eastAsia="仿宋_GB2312"/>
        </w:rPr>
        <w:t>详见附件：售后服务证明材料.docx</w:t>
      </w:r>
    </w:p>
    <w:p>
      <w:pPr>
        <w:pStyle w:val="null3"/>
        <w:ind w:firstLine="960"/>
      </w:pPr>
      <w:r>
        <w:rPr>
          <w:rFonts w:ascii="仿宋_GB2312" w:hAnsi="仿宋_GB2312" w:cs="仿宋_GB2312" w:eastAsia="仿宋_GB2312"/>
        </w:rPr>
        <w:t>详见附件：投标分项报价表.docx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