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版本号：DTZB-202504320251128001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陕西省住房公积金数据共享应用研究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DTZB-2025043</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陕西省住房公积金数据共享应用研究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陕西省住房公积金数据共享应用研究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落实住房和城乡建设部《关于加快住房公积金数字化发展的指导意见》和国务院《关于进一步优化政务服务提升行政效能推动“高效办成一件事”的指导意见》、国务院办公厅《“高效办成一件事”2025年度第一批重点事项清单》《“高效办成一件事”2025年度第二批重点事项清单》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1、法定代表人授权书或法定代表人身份证明：法定代表人授权书（法定代表人直接参加磋商，须提供法定代表人身份证明书）；</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3、承诺：本项目不接受联合体磋商，单位负责人为同一人或者存在直接控股、管理关系的不同供应商，不得参加同一合同项下的政府采购活动。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屈原疆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发展计划委员会计价格[2002]1980号文件及国家发展和改革委员会办公厅颁发的《关于招标代理服务收费有关问题的通知》（发改价格[2011]534号）规定的服务类收费标准100%计取（不足5000元按照5000元收取）。 2.代理服务费由成交供应商支付，在领取《成交通知书》前，由成交供应商一次性支付给陕西大同项目管理有限公司。3.代理服务费缴纳账户，开户名称：陕西大同项目管理有限公司，开户银行：中国银行西安高新科技支行，账号：102451771385注：成交公示结束后，成交供应商须提供纸质磋商响应文件3套及电子版U盘2个（电子版文件为Word版磋商响应文件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陕西省住房公积金数据共享应用研究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陕西省住房公积金数据共享应用研究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标的名称：陕西省住房公积金数据共享应用研究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为落实住房和城乡建设部《关于加快住房公积金数字化发展的指导意见》和国务院《关于进一步优化政务服务提升行政效能推动</w:t>
            </w:r>
            <w:r>
              <w:rPr>
                <w:rFonts w:ascii="仿宋_GB2312" w:hAnsi="仿宋_GB2312" w:cs="仿宋_GB2312" w:eastAsia="仿宋_GB2312"/>
                <w:sz w:val="21"/>
                <w:color w:val="000000"/>
              </w:rPr>
              <w:t>“高效办成一件事”的指导意见》、国务院办公厅《“高效办成一件事”2025年度第一批重点事项清单》《“高效办成一件事”2025年度第二批重点事项清单》要求。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合同签订后30个工作日内完成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2024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响应文件封面 商务条款响应说明.pdf 陕西省政府采购供应商拒绝政府采购领域商业贿赂承诺书.pdf 服务方案.pdf 中小企业声明函 残疾人福利性单位声明函 供应商应提交的相关资格证明材料.pdf 技术指标偏差表.pdf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对项目背景和需求的理解</w:t>
            </w:r>
          </w:p>
        </w:tc>
        <w:tc>
          <w:tcPr>
            <w:tcW w:type="dxa" w:w="2492"/>
          </w:tcPr>
          <w:p>
            <w:pPr>
              <w:pStyle w:val="null3"/>
            </w:pPr>
            <w:r>
              <w:rPr>
                <w:rFonts w:ascii="仿宋_GB2312" w:hAnsi="仿宋_GB2312" w:cs="仿宋_GB2312" w:eastAsia="仿宋_GB2312"/>
              </w:rPr>
              <w:t>针对本项目提供对项目背景和需求的理解，内容包括但不限于:(1)剖析本次课题研究的战略意义(2)现实需求和最终目标等。 以上(1)-(2)项内容齐全且无缺陷的得6分，每有一项内容缺项的扣3分;每存在一项缺陷的扣1分，扣完为止。无此项描述的不得分。 (“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针对本项目提供整体服务方案，内容包括但不限于：(1)研究内容(2)研究思路(3)研究方法(4)对现有问题的原因分析及解决措施(5)本项目工作重、难点分析及应对措施等。 以上(1)-(5)项内容齐全且无缺陷的得20分，每有一项内容缺项的扣4分，每存在一项缺陷的扣1分，扣完为止。无此项描述的不得分。 (“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针对本项目提供质量保障措施，内容包括但不限于:(1)质量管理方案(2)质量保证体系(3)质量保证措施(4)质量保障承诺。 以上(1)-(4)项内容齐全且无缺陷的得16分，每有-项内容缺项的扣4分;每存在一项缺陷的扣1分，扣完为止。无此项描述的不得分。 (“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针对本项目提供确保服务期及进度的保障措施，内容包括但不限于:(1)进度计划(2)工作部署(3)各阶段实施流程(4)进度保障措施。以上(1)-(4)项内容齐全且无缺陷的得16分，每有一项内容缺项的扣4分;每存在一项缺陷的扣1分，扣完为止。无此项描述的不得分。 (“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针对本项目提供成果交付保障，内容包括但不限于：（1）成果交付内容（2）成果质量保障及承诺（3）合理化建议（4）后续服务及支持。以上(1)-(4)项内容齐全且无缺陷的得12分，每有一项内容缺项的扣3分;每存在一项缺陷的扣1分，扣完为止。无此项描述的不得分。 (“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1.项目负责人具有公共管理、信息管理、经济学、金融学等相关专业高级及以上职称证得1分；具有住房公积金类课题研究业绩或在相关领域发表过论文或出版过专著得2分（以合同复印件或论文发表及专著出版证明资料为准，时间以合同签订日期或论文发表时间或专著出版时间为准）；满分3分。 2.拟派本项目服务团队配备合理、职责分工明确，团队成员不少于5人。团队成员中（不含项目负责人）具有公共管理、信息管理、经济学、金融学等相关专业高级及以上职称的，每提供一个得1分，满分2分。未提供不得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提供2020年1月1日至今完成过的住房公积金类课题研究业绩。每提供一个业绩证明得 3分，最多得15分。（以合同复印件为准，时间以合同签订日期为准）。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详见附件：技术指标偏差表.pdf</w:t>
      </w:r>
    </w:p>
    <w:p>
      <w:pPr>
        <w:pStyle w:val="null3"/>
        <w:ind w:firstLine="960"/>
      </w:pPr>
      <w:r>
        <w:rPr>
          <w:rFonts w:ascii="仿宋_GB2312" w:hAnsi="仿宋_GB2312" w:cs="仿宋_GB2312" w:eastAsia="仿宋_GB2312"/>
        </w:rPr>
        <w:t>详见附件：商务条款响应说明.pdf</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