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17E59">
      <w:pPr>
        <w:pStyle w:val="9"/>
        <w:jc w:val="center"/>
        <w:outlineLvl w:val="1"/>
        <w:rPr>
          <w:rFonts w:hint="eastAsia" w:ascii="仿宋_GB2312" w:hAnsi="仿宋_GB2312" w:eastAsia="仿宋_GB2312" w:cs="仿宋_GB2312"/>
          <w:b/>
          <w:sz w:val="36"/>
          <w:lang w:val="en-US" w:eastAsia="zh-CN"/>
        </w:rPr>
      </w:pPr>
      <w:r>
        <w:rPr>
          <w:rFonts w:hint="eastAsia" w:ascii="仿宋_GB2312" w:hAnsi="仿宋_GB2312" w:eastAsia="仿宋_GB2312" w:cs="仿宋_GB2312"/>
          <w:b/>
          <w:sz w:val="36"/>
          <w:lang w:val="en-US" w:eastAsia="zh-CN"/>
        </w:rPr>
        <w:t>补充说明</w:t>
      </w:r>
    </w:p>
    <w:tbl>
      <w:tblPr>
        <w:tblStyle w:val="7"/>
        <w:tblW w:w="8380" w:type="dxa"/>
        <w:tblInd w:w="1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1907"/>
        <w:gridCol w:w="5583"/>
      </w:tblGrid>
      <w:tr w14:paraId="24187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E70173C">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序号</w:t>
            </w:r>
          </w:p>
        </w:tc>
        <w:tc>
          <w:tcPr>
            <w:tcW w:w="1907" w:type="dxa"/>
            <w:vAlign w:val="center"/>
          </w:tcPr>
          <w:p w14:paraId="02A057B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条款名称</w:t>
            </w:r>
          </w:p>
        </w:tc>
        <w:tc>
          <w:tcPr>
            <w:tcW w:w="5583" w:type="dxa"/>
            <w:vAlign w:val="center"/>
          </w:tcPr>
          <w:p w14:paraId="4E4CA7B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lang w:val="en-US" w:eastAsia="zh-CN"/>
              </w:rPr>
              <w:t>内容</w:t>
            </w:r>
          </w:p>
        </w:tc>
      </w:tr>
      <w:tr w14:paraId="0BE53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05E380C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val="en-US" w:eastAsia="zh-CN"/>
              </w:rPr>
              <w:t>1</w:t>
            </w:r>
          </w:p>
        </w:tc>
        <w:tc>
          <w:tcPr>
            <w:tcW w:w="1907" w:type="dxa"/>
            <w:shd w:val="clear" w:color="auto" w:fill="auto"/>
            <w:vAlign w:val="center"/>
          </w:tcPr>
          <w:p w14:paraId="41F0152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i w:val="0"/>
                <w:iCs w:val="0"/>
                <w:color w:val="auto"/>
                <w:kern w:val="2"/>
                <w:sz w:val="24"/>
                <w:szCs w:val="24"/>
                <w:lang w:val="en-US" w:eastAsia="zh-CN" w:bidi="ar-SA"/>
              </w:rPr>
            </w:pPr>
            <w:r>
              <w:rPr>
                <w:rFonts w:hint="eastAsia" w:ascii="仿宋" w:hAnsi="仿宋" w:eastAsia="仿宋" w:cs="仿宋"/>
                <w:color w:val="auto"/>
                <w:sz w:val="24"/>
                <w:szCs w:val="24"/>
                <w:lang w:eastAsia="zh-CN"/>
              </w:rPr>
              <w:t>供应商资格</w:t>
            </w:r>
            <w:r>
              <w:rPr>
                <w:rFonts w:hint="eastAsia" w:ascii="仿宋" w:hAnsi="仿宋" w:eastAsia="仿宋" w:cs="仿宋"/>
                <w:color w:val="auto"/>
                <w:sz w:val="24"/>
                <w:szCs w:val="24"/>
                <w:lang w:val="en-US" w:eastAsia="zh-CN"/>
              </w:rPr>
              <w:t>说明</w:t>
            </w:r>
          </w:p>
        </w:tc>
        <w:tc>
          <w:tcPr>
            <w:tcW w:w="5583" w:type="dxa"/>
            <w:shd w:val="clear" w:color="auto" w:fill="auto"/>
            <w:vAlign w:val="center"/>
          </w:tcPr>
          <w:p w14:paraId="7B2DEBE9">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1）供应商发生合并、分立、破产等重大变化的，应及时</w:t>
            </w:r>
            <w:r>
              <w:rPr>
                <w:rFonts w:hint="default" w:ascii="仿宋" w:hAnsi="仿宋" w:eastAsia="仿宋" w:cs="仿宋"/>
                <w:color w:val="auto"/>
                <w:sz w:val="24"/>
                <w:szCs w:val="24"/>
                <w:lang w:val="en-US" w:eastAsia="zh-CN"/>
              </w:rPr>
              <w:t>书面</w:t>
            </w:r>
            <w:r>
              <w:rPr>
                <w:rFonts w:hint="eastAsia" w:ascii="仿宋" w:hAnsi="仿宋" w:eastAsia="仿宋" w:cs="仿宋"/>
                <w:color w:val="auto"/>
                <w:kern w:val="2"/>
                <w:sz w:val="24"/>
                <w:szCs w:val="24"/>
                <w:highlight w:val="none"/>
                <w:lang w:val="en-US" w:eastAsia="zh-CN" w:bidi="ar-SA"/>
              </w:rPr>
              <w:t>告知采购人，否则承担一切不利后果。</w:t>
            </w:r>
            <w:r>
              <w:rPr>
                <w:rFonts w:hint="eastAsia" w:ascii="仿宋" w:hAnsi="仿宋" w:eastAsia="仿宋" w:cs="仿宋"/>
                <w:color w:val="auto"/>
                <w:sz w:val="24"/>
                <w:szCs w:val="24"/>
                <w:lang w:val="en-US" w:eastAsia="zh-CN"/>
              </w:rPr>
              <w:t>重大变化导致</w:t>
            </w:r>
            <w:r>
              <w:rPr>
                <w:rFonts w:hint="eastAsia" w:ascii="仿宋" w:hAnsi="仿宋" w:eastAsia="仿宋" w:cs="仿宋"/>
                <w:color w:val="auto"/>
                <w:kern w:val="2"/>
                <w:sz w:val="24"/>
                <w:szCs w:val="24"/>
                <w:highlight w:val="none"/>
                <w:lang w:val="en-US" w:eastAsia="zh-CN" w:bidi="ar-SA"/>
              </w:rPr>
              <w:t>供应商</w:t>
            </w:r>
            <w:r>
              <w:rPr>
                <w:rFonts w:hint="eastAsia" w:ascii="仿宋" w:hAnsi="仿宋" w:eastAsia="仿宋" w:cs="仿宋"/>
                <w:color w:val="auto"/>
                <w:sz w:val="24"/>
                <w:szCs w:val="24"/>
                <w:lang w:val="en-US" w:eastAsia="zh-CN"/>
              </w:rPr>
              <w:t>或中标人不再符合采购要求或不能正常履约的，任何时候采购人均有权取消其投标或中标资格。</w:t>
            </w:r>
          </w:p>
          <w:p w14:paraId="58D1CAC5">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2）中标人须保证企业的必备资质及相关证书的有效性、连续性。评审结束之日起至履约结束，如期间遇到资质或证书临界到期需更换，</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应提前及时续办，否则采购人有权随时取消其</w:t>
            </w:r>
            <w:r>
              <w:rPr>
                <w:rFonts w:hint="default" w:ascii="仿宋" w:hAnsi="仿宋" w:eastAsia="仿宋" w:cs="仿宋"/>
                <w:color w:val="auto"/>
                <w:sz w:val="24"/>
                <w:szCs w:val="24"/>
                <w:lang w:val="en-US" w:eastAsia="zh-CN"/>
              </w:rPr>
              <w:t>中标</w:t>
            </w:r>
            <w:r>
              <w:rPr>
                <w:rFonts w:hint="eastAsia" w:ascii="仿宋" w:hAnsi="仿宋" w:eastAsia="仿宋" w:cs="仿宋"/>
                <w:color w:val="auto"/>
                <w:kern w:val="2"/>
                <w:sz w:val="24"/>
                <w:szCs w:val="24"/>
                <w:highlight w:val="none"/>
                <w:lang w:val="en-US" w:eastAsia="zh-CN" w:bidi="ar-SA"/>
              </w:rPr>
              <w:t>或履约资格，由此造成的后果由</w:t>
            </w:r>
            <w:r>
              <w:rPr>
                <w:rFonts w:hint="default" w:ascii="仿宋" w:hAnsi="仿宋" w:eastAsia="仿宋" w:cs="仿宋"/>
                <w:color w:val="auto"/>
                <w:sz w:val="24"/>
                <w:szCs w:val="24"/>
                <w:lang w:val="en-US" w:eastAsia="zh-CN"/>
              </w:rPr>
              <w:t>中标人</w:t>
            </w:r>
            <w:r>
              <w:rPr>
                <w:rFonts w:hint="eastAsia" w:ascii="仿宋" w:hAnsi="仿宋" w:eastAsia="仿宋" w:cs="仿宋"/>
                <w:color w:val="auto"/>
                <w:kern w:val="2"/>
                <w:sz w:val="24"/>
                <w:szCs w:val="24"/>
                <w:highlight w:val="none"/>
                <w:lang w:val="en-US" w:eastAsia="zh-CN" w:bidi="ar-SA"/>
              </w:rPr>
              <w:t>自行承担。</w:t>
            </w:r>
          </w:p>
        </w:tc>
      </w:tr>
      <w:tr w14:paraId="390EE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31263325">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p>
        </w:tc>
        <w:tc>
          <w:tcPr>
            <w:tcW w:w="1907" w:type="dxa"/>
            <w:shd w:val="clear" w:color="auto" w:fill="auto"/>
            <w:vAlign w:val="center"/>
          </w:tcPr>
          <w:p w14:paraId="5CE07E4A">
            <w:pPr>
              <w:keepNext w:val="0"/>
              <w:keepLines w:val="0"/>
              <w:pageBreakBefore w:val="0"/>
              <w:kinsoku/>
              <w:wordWrap/>
              <w:overflowPunct/>
              <w:topLinePunct w:val="0"/>
              <w:autoSpaceDE/>
              <w:autoSpaceDN/>
              <w:bidi w:val="0"/>
              <w:adjustRightInd/>
              <w:spacing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现场勘查</w:t>
            </w:r>
          </w:p>
        </w:tc>
        <w:tc>
          <w:tcPr>
            <w:tcW w:w="5583" w:type="dxa"/>
            <w:shd w:val="clear" w:color="auto" w:fill="auto"/>
            <w:vAlign w:val="center"/>
          </w:tcPr>
          <w:p w14:paraId="6AADA4D8">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不组织</w:t>
            </w:r>
            <w:r>
              <w:rPr>
                <w:rFonts w:hint="eastAsia" w:ascii="仿宋" w:hAnsi="仿宋" w:eastAsia="仿宋" w:cs="仿宋"/>
                <w:color w:val="auto"/>
                <w:sz w:val="24"/>
                <w:szCs w:val="24"/>
                <w:lang w:eastAsia="zh-CN"/>
              </w:rPr>
              <w:t>。</w:t>
            </w:r>
          </w:p>
        </w:tc>
      </w:tr>
      <w:tr w14:paraId="7BBBF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31940E98">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w:t>
            </w:r>
          </w:p>
        </w:tc>
        <w:tc>
          <w:tcPr>
            <w:tcW w:w="1907" w:type="dxa"/>
            <w:tcBorders>
              <w:right w:val="nil"/>
            </w:tcBorders>
            <w:vAlign w:val="center"/>
          </w:tcPr>
          <w:p w14:paraId="0C99AFB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w:t>
            </w:r>
          </w:p>
        </w:tc>
        <w:tc>
          <w:tcPr>
            <w:tcW w:w="5583" w:type="dxa"/>
            <w:tcBorders>
              <w:left w:val="nil"/>
            </w:tcBorders>
            <w:vAlign w:val="center"/>
          </w:tcPr>
          <w:p w14:paraId="458EB6EE">
            <w:pPr>
              <w:pStyle w:val="2"/>
              <w:keepNext w:val="0"/>
              <w:keepLines w:val="0"/>
              <w:pageBreakBefore w:val="0"/>
              <w:kinsoku/>
              <w:wordWrap/>
              <w:overflowPunct/>
              <w:topLinePunct w:val="0"/>
              <w:autoSpaceDE/>
              <w:autoSpaceDN/>
              <w:bidi w:val="0"/>
              <w:adjustRightInd/>
              <w:spacing w:line="500" w:lineRule="exact"/>
              <w:ind w:firstLine="0" w:firstLineChars="0"/>
              <w:rPr>
                <w:rFonts w:hint="eastAsia" w:ascii="仿宋" w:hAnsi="仿宋" w:eastAsia="仿宋" w:cs="仿宋"/>
                <w:color w:val="auto"/>
                <w:sz w:val="24"/>
                <w:szCs w:val="24"/>
                <w:lang w:val="en-US" w:eastAsia="zh-CN"/>
              </w:rPr>
            </w:pPr>
          </w:p>
        </w:tc>
      </w:tr>
      <w:tr w14:paraId="14250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E157C41">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3.1</w:t>
            </w:r>
          </w:p>
        </w:tc>
        <w:tc>
          <w:tcPr>
            <w:tcW w:w="1907" w:type="dxa"/>
            <w:vAlign w:val="center"/>
          </w:tcPr>
          <w:p w14:paraId="64CA238B">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rPr>
              <w:t>文件的</w:t>
            </w:r>
          </w:p>
          <w:p w14:paraId="72B10A93">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sz w:val="24"/>
                <w:szCs w:val="24"/>
                <w:highlight w:val="none"/>
              </w:rPr>
              <w:t>澄清、修改</w:t>
            </w:r>
          </w:p>
        </w:tc>
        <w:tc>
          <w:tcPr>
            <w:tcW w:w="5583" w:type="dxa"/>
            <w:vAlign w:val="top"/>
          </w:tcPr>
          <w:p w14:paraId="3403A68B">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kern w:val="2"/>
                <w:sz w:val="24"/>
                <w:szCs w:val="24"/>
                <w:lang w:val="en-US" w:eastAsia="zh-CN" w:bidi="ar-SA"/>
              </w:rPr>
              <w:t>在</w:t>
            </w: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截止</w:t>
            </w:r>
            <w:r>
              <w:rPr>
                <w:rFonts w:hint="eastAsia" w:ascii="仿宋" w:hAnsi="仿宋" w:eastAsia="仿宋" w:cs="仿宋"/>
                <w:color w:val="auto"/>
                <w:sz w:val="24"/>
                <w:szCs w:val="24"/>
                <w:lang w:eastAsia="zh-CN"/>
              </w:rPr>
              <w:t>日</w:t>
            </w:r>
            <w:r>
              <w:rPr>
                <w:rFonts w:hint="eastAsia" w:ascii="仿宋" w:hAnsi="仿宋" w:eastAsia="仿宋" w:cs="仿宋"/>
                <w:color w:val="auto"/>
                <w:kern w:val="2"/>
                <w:sz w:val="24"/>
                <w:szCs w:val="24"/>
                <w:lang w:val="en-US" w:eastAsia="zh-CN" w:bidi="ar-SA"/>
              </w:rPr>
              <w:t>前，采购人或者代理机构可以对已发出的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文件进行必要的</w:t>
            </w:r>
            <w:r>
              <w:rPr>
                <w:rFonts w:hint="eastAsia" w:ascii="仿宋" w:hAnsi="仿宋" w:eastAsia="仿宋" w:cs="仿宋"/>
                <w:color w:val="auto"/>
                <w:sz w:val="24"/>
                <w:szCs w:val="24"/>
                <w:highlight w:val="none"/>
                <w:lang w:val="en-US" w:eastAsia="zh-CN"/>
              </w:rPr>
              <w:t>说明、</w:t>
            </w:r>
            <w:r>
              <w:rPr>
                <w:rFonts w:hint="eastAsia" w:ascii="仿宋" w:hAnsi="仿宋" w:eastAsia="仿宋" w:cs="仿宋"/>
                <w:color w:val="auto"/>
                <w:kern w:val="2"/>
                <w:sz w:val="24"/>
                <w:szCs w:val="24"/>
                <w:lang w:val="en-US" w:eastAsia="zh-CN" w:bidi="ar-SA"/>
              </w:rPr>
              <w:t>澄清或者修改。</w:t>
            </w:r>
          </w:p>
          <w:p w14:paraId="678FE1C6">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w:t>
            </w:r>
            <w:r>
              <w:rPr>
                <w:rFonts w:hint="eastAsia" w:ascii="仿宋" w:hAnsi="仿宋" w:eastAsia="仿宋" w:cs="仿宋"/>
                <w:sz w:val="24"/>
                <w:szCs w:val="24"/>
                <w:lang w:val="en-US" w:eastAsia="zh-CN"/>
              </w:rPr>
              <w:t>说明、澄清或修改</w:t>
            </w:r>
            <w:r>
              <w:rPr>
                <w:rFonts w:hint="eastAsia" w:ascii="仿宋" w:hAnsi="仿宋" w:eastAsia="仿宋" w:cs="仿宋"/>
                <w:color w:val="auto"/>
                <w:kern w:val="2"/>
                <w:sz w:val="24"/>
                <w:szCs w:val="24"/>
                <w:lang w:val="en-US" w:eastAsia="zh-CN" w:bidi="ar-SA"/>
              </w:rPr>
              <w:t>的内容为招标文件的组成部分，采购人或者代理机构将在陕西省政府采购网发布更正公告，供应商应及时关注本项目更正公告信息，按更正后公告要求进行投标。更正内容可能影响投标文件编制的，采购人或者代理机构将通过项目电子化交易系统发布更正后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文件，供应商应依据更正后的</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2"/>
                <w:sz w:val="24"/>
                <w:szCs w:val="24"/>
                <w:lang w:val="en-US" w:eastAsia="zh-CN" w:bidi="ar-SA"/>
              </w:rPr>
              <w:t>文件编制投标文件。若供应商未按前述要求进行投标的，自行承担不利后果。</w:t>
            </w:r>
          </w:p>
        </w:tc>
      </w:tr>
      <w:tr w14:paraId="1ECE09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6321F15">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3.2</w:t>
            </w:r>
          </w:p>
        </w:tc>
        <w:tc>
          <w:tcPr>
            <w:tcW w:w="1907" w:type="dxa"/>
            <w:vAlign w:val="center"/>
          </w:tcPr>
          <w:p w14:paraId="21D3E813">
            <w:pPr>
              <w:keepNext w:val="0"/>
              <w:keepLines w:val="0"/>
              <w:pageBreakBefore w:val="0"/>
              <w:widowControl/>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供应商对</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文件的</w:t>
            </w:r>
            <w:r>
              <w:rPr>
                <w:rFonts w:hint="eastAsia" w:ascii="仿宋" w:hAnsi="仿宋" w:eastAsia="仿宋" w:cs="仿宋"/>
                <w:color w:val="auto"/>
                <w:sz w:val="24"/>
                <w:szCs w:val="24"/>
                <w:highlight w:val="none"/>
                <w:lang w:val="en-US" w:eastAsia="zh-CN"/>
              </w:rPr>
              <w:t>咨询</w:t>
            </w:r>
          </w:p>
        </w:tc>
        <w:tc>
          <w:tcPr>
            <w:tcW w:w="5583" w:type="dxa"/>
            <w:vAlign w:val="top"/>
          </w:tcPr>
          <w:p w14:paraId="0D9EBFB3">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highlight w:val="cyan"/>
                <w:lang w:val="en-US" w:eastAsia="zh-CN"/>
              </w:rPr>
            </w:pPr>
            <w:r>
              <w:rPr>
                <w:rFonts w:hint="eastAsia" w:ascii="仿宋" w:hAnsi="仿宋" w:eastAsia="仿宋" w:cs="仿宋"/>
                <w:color w:val="auto"/>
                <w:kern w:val="0"/>
                <w:sz w:val="24"/>
                <w:szCs w:val="24"/>
                <w:highlight w:val="none"/>
                <w:lang w:val="en-US" w:eastAsia="zh-CN"/>
              </w:rPr>
              <w:t>1.供应商</w:t>
            </w:r>
            <w:r>
              <w:rPr>
                <w:rFonts w:hint="eastAsia" w:ascii="仿宋" w:hAnsi="仿宋" w:eastAsia="仿宋" w:cs="仿宋"/>
                <w:color w:val="auto"/>
                <w:sz w:val="24"/>
                <w:szCs w:val="24"/>
                <w:highlight w:val="none"/>
                <w:lang w:val="en-US" w:eastAsia="zh-CN"/>
              </w:rPr>
              <w:t>获取</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文件后，应尽快认真阅读，</w:t>
            </w:r>
            <w:r>
              <w:rPr>
                <w:rFonts w:hint="eastAsia" w:ascii="仿宋" w:hAnsi="仿宋" w:eastAsia="仿宋" w:cs="仿宋"/>
                <w:color w:val="auto"/>
                <w:sz w:val="24"/>
                <w:highlight w:val="none"/>
                <w:lang w:val="en-US" w:eastAsia="zh-CN"/>
              </w:rPr>
              <w:t>对于</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highlight w:val="none"/>
                <w:lang w:val="en-US" w:eastAsia="zh-CN"/>
              </w:rPr>
              <w:t>文件中出现的同一内容前后不一致、表述不准确、笔误/瑕疵、漏项或异议等问题，供应商应及时向代理公司提出咨询、确认，否则应视为其完全理解和接受</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highlight w:val="none"/>
                <w:lang w:val="en-US" w:eastAsia="zh-CN"/>
              </w:rPr>
              <w:t>文件，对此造成的投标不良后果供应商自担</w:t>
            </w:r>
            <w:r>
              <w:rPr>
                <w:rFonts w:hint="eastAsia" w:ascii="仿宋" w:hAnsi="仿宋" w:eastAsia="仿宋" w:cs="仿宋"/>
                <w:color w:val="auto"/>
                <w:sz w:val="24"/>
                <w:szCs w:val="24"/>
                <w:highlight w:val="none"/>
                <w:lang w:val="en-US" w:eastAsia="zh-CN"/>
              </w:rPr>
              <w:t>。</w:t>
            </w:r>
          </w:p>
          <w:p w14:paraId="698FEB48">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2.对于供应商对</w:t>
            </w:r>
            <w:r>
              <w:rPr>
                <w:rFonts w:hint="eastAsia" w:ascii="仿宋" w:hAnsi="仿宋" w:eastAsia="仿宋" w:cs="仿宋"/>
                <w:color w:val="auto"/>
                <w:sz w:val="24"/>
                <w:szCs w:val="24"/>
                <w:lang w:val="en-US" w:eastAsia="zh-CN"/>
              </w:rPr>
              <w:t>招标</w:t>
            </w:r>
            <w:r>
              <w:rPr>
                <w:rFonts w:hint="eastAsia" w:ascii="仿宋" w:hAnsi="仿宋" w:eastAsia="仿宋" w:cs="仿宋"/>
                <w:color w:val="auto"/>
                <w:kern w:val="0"/>
                <w:sz w:val="24"/>
                <w:szCs w:val="24"/>
                <w:highlight w:val="none"/>
                <w:lang w:val="en-US" w:eastAsia="zh-CN"/>
              </w:rPr>
              <w:t>文件的自我理解、判定、推测等造成的不利后果，由供应商自行承担。</w:t>
            </w:r>
          </w:p>
          <w:p w14:paraId="32A507C5">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highlight w:val="none"/>
                <w:lang w:val="en-US" w:eastAsia="zh-CN"/>
              </w:rPr>
              <w:t>3.对于供应商未及时查看获取</w:t>
            </w:r>
            <w:r>
              <w:rPr>
                <w:rFonts w:hint="eastAsia" w:ascii="仿宋" w:hAnsi="仿宋" w:eastAsia="仿宋" w:cs="仿宋"/>
                <w:color w:val="auto"/>
                <w:sz w:val="24"/>
                <w:szCs w:val="24"/>
                <w:highlight w:val="none"/>
                <w:lang w:val="en-US" w:eastAsia="zh-CN"/>
              </w:rPr>
              <w:t>项目相关信息造成的不利后果，责任自负</w:t>
            </w:r>
            <w:r>
              <w:rPr>
                <w:rFonts w:hint="eastAsia" w:ascii="仿宋" w:hAnsi="仿宋" w:eastAsia="仿宋" w:cs="仿宋"/>
                <w:color w:val="auto"/>
                <w:kern w:val="0"/>
                <w:sz w:val="24"/>
                <w:szCs w:val="24"/>
                <w:highlight w:val="none"/>
                <w:lang w:val="en-US" w:eastAsia="zh-CN"/>
              </w:rPr>
              <w:t>。</w:t>
            </w:r>
          </w:p>
        </w:tc>
      </w:tr>
      <w:tr w14:paraId="26862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6D289A7">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4</w:t>
            </w:r>
          </w:p>
        </w:tc>
        <w:tc>
          <w:tcPr>
            <w:tcW w:w="1907" w:type="dxa"/>
            <w:vAlign w:val="center"/>
          </w:tcPr>
          <w:p w14:paraId="5BDF963F">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对相关通知的确认</w:t>
            </w:r>
          </w:p>
        </w:tc>
        <w:tc>
          <w:tcPr>
            <w:tcW w:w="5583" w:type="dxa"/>
            <w:vAlign w:val="top"/>
          </w:tcPr>
          <w:p w14:paraId="0A26E85C">
            <w:pPr>
              <w:keepNext w:val="0"/>
              <w:keepLines w:val="0"/>
              <w:pageBreakBefore w:val="0"/>
              <w:kinsoku/>
              <w:wordWrap/>
              <w:overflowPunct/>
              <w:topLinePunct w:val="0"/>
              <w:autoSpaceDE/>
              <w:autoSpaceDN/>
              <w:bidi w:val="0"/>
              <w:adjustRightInd/>
              <w:spacing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供应商应及时关注了解并掌握本项目相关信息的变化、通知，否则后果自负。采购人或代理机构不承担由于供应商信息错误、人员变动等原因造成的信息接收不及时、不准确及传递有误等造成的不良后果</w:t>
            </w:r>
            <w:r>
              <w:rPr>
                <w:rFonts w:hint="eastAsia" w:ascii="仿宋" w:hAnsi="仿宋" w:eastAsia="仿宋" w:cs="仿宋"/>
                <w:color w:val="auto"/>
                <w:kern w:val="2"/>
                <w:sz w:val="24"/>
                <w:szCs w:val="24"/>
                <w:lang w:val="en-US" w:eastAsia="zh-CN" w:bidi="ar-SA"/>
              </w:rPr>
              <w:t>。</w:t>
            </w:r>
          </w:p>
        </w:tc>
      </w:tr>
      <w:tr w14:paraId="280ED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50E789C">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highlight w:val="none"/>
                <w:lang w:val="en-US" w:eastAsia="zh-CN"/>
              </w:rPr>
              <w:t>5</w:t>
            </w:r>
          </w:p>
        </w:tc>
        <w:tc>
          <w:tcPr>
            <w:tcW w:w="1907" w:type="dxa"/>
            <w:tcBorders>
              <w:right w:val="nil"/>
            </w:tcBorders>
            <w:vAlign w:val="center"/>
          </w:tcPr>
          <w:p w14:paraId="65FA4F49">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w:t>
            </w:r>
            <w:r>
              <w:rPr>
                <w:rFonts w:hint="eastAsia" w:ascii="仿宋" w:hAnsi="仿宋" w:eastAsia="仿宋" w:cs="仿宋"/>
                <w:color w:val="auto"/>
                <w:sz w:val="24"/>
                <w:szCs w:val="24"/>
              </w:rPr>
              <w:t>文件</w:t>
            </w:r>
          </w:p>
        </w:tc>
        <w:tc>
          <w:tcPr>
            <w:tcW w:w="5583" w:type="dxa"/>
            <w:tcBorders>
              <w:left w:val="nil"/>
            </w:tcBorders>
            <w:vAlign w:val="top"/>
          </w:tcPr>
          <w:p w14:paraId="408137BF">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0"/>
                <w:sz w:val="24"/>
                <w:szCs w:val="24"/>
                <w:lang w:val="en-US" w:eastAsia="zh-CN"/>
              </w:rPr>
            </w:pPr>
          </w:p>
        </w:tc>
      </w:tr>
      <w:tr w14:paraId="1005C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0F2FA8F">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kern w:val="2"/>
                <w:sz w:val="24"/>
                <w:szCs w:val="24"/>
                <w:lang w:val="en-US" w:eastAsia="zh-CN" w:bidi="ar-SA"/>
              </w:rPr>
              <w:t>.1</w:t>
            </w:r>
          </w:p>
        </w:tc>
        <w:tc>
          <w:tcPr>
            <w:tcW w:w="1907" w:type="dxa"/>
            <w:shd w:val="clear" w:color="auto" w:fill="auto"/>
            <w:vAlign w:val="center"/>
          </w:tcPr>
          <w:p w14:paraId="0F9DF5DE">
            <w:pPr>
              <w:pStyle w:val="10"/>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sz w:val="24"/>
                <w:szCs w:val="24"/>
                <w:lang w:val="en-US" w:eastAsia="zh-CN"/>
              </w:rPr>
              <w:t>供应商对</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lang w:val="en-US" w:eastAsia="zh-CN"/>
              </w:rPr>
              <w:t>文件的补充、修改、澄清</w:t>
            </w:r>
          </w:p>
        </w:tc>
        <w:tc>
          <w:tcPr>
            <w:tcW w:w="5583" w:type="dxa"/>
            <w:shd w:val="clear" w:color="auto" w:fill="auto"/>
            <w:vAlign w:val="top"/>
          </w:tcPr>
          <w:p w14:paraId="5A8E7BCB">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kern w:val="0"/>
                <w:sz w:val="24"/>
                <w:szCs w:val="24"/>
              </w:rPr>
              <w:t>在</w:t>
            </w:r>
            <w:r>
              <w:rPr>
                <w:rFonts w:hint="eastAsia" w:ascii="仿宋" w:hAnsi="仿宋" w:eastAsia="仿宋" w:cs="仿宋"/>
                <w:color w:val="auto"/>
                <w:kern w:val="0"/>
                <w:sz w:val="24"/>
                <w:szCs w:val="24"/>
                <w:lang w:val="en-US" w:eastAsia="zh-CN"/>
              </w:rPr>
              <w:t>投标</w:t>
            </w:r>
            <w:r>
              <w:rPr>
                <w:rFonts w:hint="eastAsia" w:ascii="仿宋" w:hAnsi="仿宋" w:eastAsia="仿宋" w:cs="仿宋"/>
                <w:color w:val="auto"/>
                <w:kern w:val="0"/>
                <w:sz w:val="24"/>
                <w:szCs w:val="24"/>
              </w:rPr>
              <w:t>截止时间</w:t>
            </w:r>
            <w:r>
              <w:rPr>
                <w:rFonts w:hint="eastAsia" w:ascii="仿宋" w:hAnsi="仿宋" w:eastAsia="仿宋" w:cs="仿宋"/>
                <w:color w:val="auto"/>
                <w:sz w:val="24"/>
                <w:szCs w:val="24"/>
                <w:highlight w:val="none"/>
                <w:lang w:val="en-US" w:eastAsia="zh-CN"/>
              </w:rPr>
              <w:t>前，供应商可以补充、修改或者撤回已成功提交的投标文件；对投标文件进行补充、修改的，应当先行撤回已提交的投标文件，补充、修改后重新提交。</w:t>
            </w:r>
          </w:p>
          <w:p w14:paraId="0A98620D">
            <w:pPr>
              <w:keepNext w:val="0"/>
              <w:keepLines w:val="0"/>
              <w:pageBreakBefore w:val="0"/>
              <w:kinsoku/>
              <w:wordWrap/>
              <w:overflowPunct/>
              <w:topLinePunct w:val="0"/>
              <w:autoSpaceDE/>
              <w:autoSpaceDN/>
              <w:bidi w:val="0"/>
              <w:adjustRightInd/>
              <w:spacing w:line="500" w:lineRule="exact"/>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供应商投标文件撤回后，视为未提交过投标文件。</w:t>
            </w:r>
          </w:p>
        </w:tc>
      </w:tr>
      <w:tr w14:paraId="0AC08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A9CB97D">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5.2</w:t>
            </w:r>
          </w:p>
        </w:tc>
        <w:tc>
          <w:tcPr>
            <w:tcW w:w="1907" w:type="dxa"/>
            <w:shd w:val="clear" w:color="auto" w:fill="auto"/>
            <w:vAlign w:val="center"/>
          </w:tcPr>
          <w:p w14:paraId="5F7967BE">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报</w:t>
            </w:r>
            <w:r>
              <w:rPr>
                <w:rFonts w:hint="eastAsia" w:ascii="仿宋" w:hAnsi="仿宋" w:eastAsia="仿宋" w:cs="仿宋"/>
                <w:sz w:val="24"/>
                <w:szCs w:val="24"/>
                <w:highlight w:val="none"/>
              </w:rPr>
              <w:t>价</w:t>
            </w:r>
          </w:p>
        </w:tc>
        <w:tc>
          <w:tcPr>
            <w:tcW w:w="5583" w:type="dxa"/>
            <w:shd w:val="clear" w:color="auto" w:fill="auto"/>
            <w:vAlign w:val="center"/>
          </w:tcPr>
          <w:p w14:paraId="6629BD0B">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1.人民币报价，为含税价，包含完成本项目所发生的可预见和不可预见的一切费用，采购人不再支付任何费用（合同另有约定的事项除外）。</w:t>
            </w:r>
          </w:p>
          <w:p w14:paraId="4B9192C3">
            <w:pPr>
              <w:pStyle w:val="9"/>
              <w:numPr>
                <w:ilvl w:val="0"/>
                <w:numId w:val="0"/>
              </w:numP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 </w:t>
            </w:r>
            <w:r>
              <w:rPr>
                <w:rFonts w:hint="eastAsia" w:ascii="仿宋" w:hAnsi="仿宋" w:eastAsia="仿宋" w:cs="仿宋"/>
                <w:color w:val="auto"/>
                <w:kern w:val="2"/>
                <w:sz w:val="24"/>
                <w:szCs w:val="24"/>
                <w:highlight w:val="none"/>
                <w:lang w:val="en-US" w:eastAsia="zh-CN" w:bidi="ar-SA"/>
              </w:rPr>
              <w:t>中标价在合同期内固定不变。</w:t>
            </w:r>
            <w:r>
              <w:rPr>
                <w:rFonts w:hint="eastAsia" w:ascii="仿宋" w:hAnsi="仿宋" w:eastAsia="仿宋" w:cs="仿宋"/>
                <w:color w:val="auto"/>
                <w:sz w:val="24"/>
                <w:szCs w:val="24"/>
                <w:highlight w:val="none"/>
                <w:lang w:val="en-US" w:eastAsia="zh-CN"/>
              </w:rPr>
              <w:t>（法定情形除外）</w:t>
            </w:r>
          </w:p>
          <w:p w14:paraId="312C19B1">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供应商应全面考虑风险，及时了解和掌握项目情况及所在地区与本项目相关的政策、规定及价格等情况，结合企业自身技术力量、装备管理水平及市场行情，做到报价准确合理、合法合规，减少失误。报价不得违反《价格法》和《反不正当竞争法》的相关规定。因误读、理解偏差、对文件、项目或政策了解不全等原因造成的后果，将按照对采购人有利的方法进行处理，不利后果由供应商自行承担。</w:t>
            </w:r>
          </w:p>
          <w:p w14:paraId="39D0C9AC">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4.供应商应自行了解并熟悉掌握相关法律法规和政策性文件，严格执行国家或行业强制性规定，否则不利后果自负。</w:t>
            </w:r>
          </w:p>
          <w:p w14:paraId="6AA13DA4">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5.投标报价包含采购要求的一切内容，无论何种理由，均视为供应商已知且风险自担。</w:t>
            </w:r>
          </w:p>
        </w:tc>
      </w:tr>
      <w:tr w14:paraId="24910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F2770C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6</w:t>
            </w:r>
          </w:p>
        </w:tc>
        <w:tc>
          <w:tcPr>
            <w:tcW w:w="1907" w:type="dxa"/>
            <w:vAlign w:val="center"/>
          </w:tcPr>
          <w:p w14:paraId="735CBD8B">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rPr>
              <w:t>投标</w:t>
            </w:r>
            <w:r>
              <w:rPr>
                <w:rFonts w:hint="eastAsia" w:ascii="仿宋" w:hAnsi="仿宋" w:eastAsia="仿宋" w:cs="仿宋"/>
                <w:color w:val="auto"/>
                <w:sz w:val="24"/>
                <w:szCs w:val="24"/>
                <w:highlight w:val="none"/>
                <w:lang w:val="en-US" w:eastAsia="zh-CN"/>
              </w:rPr>
              <w:t>备选方案</w:t>
            </w:r>
          </w:p>
        </w:tc>
        <w:tc>
          <w:tcPr>
            <w:tcW w:w="5583" w:type="dxa"/>
            <w:vAlign w:val="center"/>
          </w:tcPr>
          <w:p w14:paraId="39FB7DCE">
            <w:pPr>
              <w:keepNext w:val="0"/>
              <w:keepLines w:val="0"/>
              <w:pageBreakBefore w:val="0"/>
              <w:kinsoku/>
              <w:wordWrap/>
              <w:overflowPunct/>
              <w:topLinePunct w:val="0"/>
              <w:autoSpaceDE/>
              <w:autoSpaceDN/>
              <w:bidi w:val="0"/>
              <w:adjustRightInd/>
              <w:snapToGrid w:val="0"/>
              <w:spacing w:line="500" w:lineRule="exact"/>
              <w:jc w:val="left"/>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不允许</w:t>
            </w:r>
          </w:p>
        </w:tc>
      </w:tr>
      <w:tr w14:paraId="5F9021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4CA017E6">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7</w:t>
            </w:r>
          </w:p>
        </w:tc>
        <w:tc>
          <w:tcPr>
            <w:tcW w:w="1907" w:type="dxa"/>
            <w:shd w:val="clear" w:color="auto" w:fill="auto"/>
            <w:vAlign w:val="center"/>
          </w:tcPr>
          <w:p w14:paraId="5888B0B2">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textAlignment w:val="auto"/>
              <w:rPr>
                <w:rFonts w:hint="eastAsia" w:ascii="仿宋" w:hAnsi="仿宋" w:eastAsia="仿宋" w:cs="仿宋"/>
                <w:strike/>
                <w:dstrike w:val="0"/>
                <w:color w:val="auto"/>
                <w:kern w:val="2"/>
                <w:sz w:val="24"/>
                <w:szCs w:val="24"/>
                <w:highlight w:val="none"/>
                <w:lang w:val="en-US" w:eastAsia="zh-CN" w:bidi="ar-SA"/>
              </w:rPr>
            </w:pPr>
            <w:r>
              <w:rPr>
                <w:rFonts w:hint="eastAsia" w:ascii="仿宋" w:hAnsi="仿宋" w:eastAsia="仿宋" w:cs="仿宋"/>
                <w:strike w:val="0"/>
                <w:dstrike w:val="0"/>
                <w:color w:val="auto"/>
                <w:szCs w:val="24"/>
                <w:highlight w:val="none"/>
                <w:lang w:val="en-US" w:eastAsia="zh-CN"/>
              </w:rPr>
              <w:t>产品包装</w:t>
            </w:r>
          </w:p>
        </w:tc>
        <w:tc>
          <w:tcPr>
            <w:tcW w:w="5583" w:type="dxa"/>
            <w:shd w:val="clear" w:color="auto" w:fill="auto"/>
            <w:vAlign w:val="center"/>
          </w:tcPr>
          <w:p w14:paraId="38A63695">
            <w:pPr>
              <w:keepNext w:val="0"/>
              <w:keepLines w:val="0"/>
              <w:pageBreakBefore w:val="0"/>
              <w:widowControl w:val="0"/>
              <w:kinsoku/>
              <w:wordWrap/>
              <w:overflowPunct/>
              <w:topLinePunct w:val="0"/>
              <w:autoSpaceDE/>
              <w:autoSpaceDN/>
              <w:bidi w:val="0"/>
              <w:adjustRightInd/>
              <w:snapToGrid/>
              <w:spacing w:beforeAutospacing="0" w:afterAutospacing="0" w:line="500" w:lineRule="exact"/>
              <w:textAlignment w:val="auto"/>
              <w:rPr>
                <w:rFonts w:hint="eastAsia" w:ascii="仿宋" w:hAnsi="仿宋" w:eastAsia="仿宋" w:cs="仿宋"/>
                <w:strike/>
                <w:dstrike w:val="0"/>
                <w:color w:val="auto"/>
                <w:kern w:val="2"/>
                <w:sz w:val="24"/>
                <w:szCs w:val="24"/>
                <w:highlight w:val="green"/>
                <w:lang w:val="en-US" w:eastAsia="zh-CN" w:bidi="ar-SA"/>
              </w:rPr>
            </w:pPr>
            <w:r>
              <w:rPr>
                <w:rFonts w:hint="eastAsia" w:ascii="仿宋" w:hAnsi="仿宋" w:eastAsia="仿宋" w:cs="仿宋"/>
                <w:color w:val="auto"/>
                <w:sz w:val="24"/>
                <w:szCs w:val="24"/>
                <w:highlight w:val="none"/>
                <w:lang w:val="en-US" w:eastAsia="zh-CN"/>
              </w:rPr>
              <w:t>符合财办库〔2020〕123号文《商品包装政府采购需求标准（试行）》、《快递包装政府采购需求标准（试行）》、GB4806.1-2016、GB7718-2011、GB/T 1354-2018（大米）、GB/T 1355-2021（面粉）、GB/T 1536-2021（菜籽油）等相关标准要求。</w:t>
            </w:r>
          </w:p>
        </w:tc>
      </w:tr>
      <w:tr w14:paraId="00A0C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45A3FB2B">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8</w:t>
            </w:r>
          </w:p>
        </w:tc>
        <w:tc>
          <w:tcPr>
            <w:tcW w:w="1907" w:type="dxa"/>
            <w:shd w:val="clear" w:color="auto" w:fill="auto"/>
            <w:vAlign w:val="center"/>
          </w:tcPr>
          <w:p w14:paraId="23931840">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进口产品</w:t>
            </w:r>
          </w:p>
        </w:tc>
        <w:tc>
          <w:tcPr>
            <w:tcW w:w="5583" w:type="dxa"/>
            <w:shd w:val="clear" w:color="auto" w:fill="auto"/>
            <w:vAlign w:val="center"/>
          </w:tcPr>
          <w:p w14:paraId="14C11EF6">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w:t>
            </w:r>
          </w:p>
        </w:tc>
      </w:tr>
      <w:tr w14:paraId="5AE292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3B159CDA">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9</w:t>
            </w:r>
          </w:p>
        </w:tc>
        <w:tc>
          <w:tcPr>
            <w:tcW w:w="1907" w:type="dxa"/>
            <w:vAlign w:val="center"/>
          </w:tcPr>
          <w:p w14:paraId="3D7E5824">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实质性条款</w:t>
            </w:r>
          </w:p>
        </w:tc>
        <w:tc>
          <w:tcPr>
            <w:tcW w:w="5583" w:type="dxa"/>
            <w:vAlign w:val="center"/>
          </w:tcPr>
          <w:p w14:paraId="065F5A51">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0"/>
                <w:sz w:val="24"/>
                <w:szCs w:val="24"/>
                <w:lang w:val="en-US" w:eastAsia="zh-CN" w:bidi="ar-SA"/>
              </w:rPr>
              <w:t>1.供应商资格要求；2.符合性要求；</w:t>
            </w:r>
            <w:r>
              <w:rPr>
                <w:rFonts w:hint="eastAsia" w:ascii="仿宋" w:hAnsi="仿宋" w:eastAsia="仿宋" w:cs="仿宋"/>
                <w:b w:val="0"/>
                <w:bCs w:val="0"/>
                <w:color w:val="auto"/>
                <w:sz w:val="24"/>
                <w:szCs w:val="24"/>
                <w:highlight w:val="none"/>
                <w:lang w:val="en-US" w:eastAsia="zh-CN"/>
              </w:rPr>
              <w:t>3.法律法规和招标文件规定的其他实质性要求。</w:t>
            </w:r>
          </w:p>
        </w:tc>
      </w:tr>
      <w:tr w14:paraId="121ED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63402FE4">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10</w:t>
            </w:r>
          </w:p>
        </w:tc>
        <w:tc>
          <w:tcPr>
            <w:tcW w:w="1907" w:type="dxa"/>
            <w:vAlign w:val="center"/>
          </w:tcPr>
          <w:p w14:paraId="7AF9FB47">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lang w:val="en-US" w:eastAsia="zh-CN"/>
              </w:rPr>
              <w:t>文件说明</w:t>
            </w:r>
          </w:p>
        </w:tc>
        <w:tc>
          <w:tcPr>
            <w:tcW w:w="5583" w:type="dxa"/>
            <w:vAlign w:val="center"/>
          </w:tcPr>
          <w:p w14:paraId="6006B082">
            <w:pPr>
              <w:keepNext w:val="0"/>
              <w:keepLines w:val="0"/>
              <w:pageBreakBefore w:val="0"/>
              <w:kinsoku/>
              <w:wordWrap/>
              <w:overflowPunct/>
              <w:topLinePunct w:val="0"/>
              <w:autoSpaceDE/>
              <w:autoSpaceDN/>
              <w:bidi w:val="0"/>
              <w:adjustRightInd/>
              <w:spacing w:line="500" w:lineRule="exact"/>
              <w:jc w:val="left"/>
              <w:textAlignment w:val="baseline"/>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若招标文件前后内容不一致或有瑕疵时，在不影响评审结果或评审公正公平进行的情况下，由代理机构澄清确认后继续评审。</w:t>
            </w:r>
          </w:p>
        </w:tc>
      </w:tr>
      <w:tr w14:paraId="690F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161D3CD3">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11</w:t>
            </w:r>
          </w:p>
        </w:tc>
        <w:tc>
          <w:tcPr>
            <w:tcW w:w="1907" w:type="dxa"/>
            <w:vAlign w:val="center"/>
          </w:tcPr>
          <w:p w14:paraId="5AA02DB0">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rPr>
              <w:t>数字计算</w:t>
            </w:r>
          </w:p>
        </w:tc>
        <w:tc>
          <w:tcPr>
            <w:tcW w:w="5583" w:type="dxa"/>
            <w:vAlign w:val="center"/>
          </w:tcPr>
          <w:p w14:paraId="18BD7430">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四舍五入，保留小数点后两位</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（特殊说明除外）</w:t>
            </w:r>
          </w:p>
        </w:tc>
      </w:tr>
      <w:tr w14:paraId="1DD9A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90" w:type="dxa"/>
            <w:shd w:val="clear" w:color="auto" w:fill="auto"/>
            <w:vAlign w:val="center"/>
          </w:tcPr>
          <w:p w14:paraId="21CA38F3">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w:t>
            </w:r>
          </w:p>
        </w:tc>
        <w:tc>
          <w:tcPr>
            <w:tcW w:w="1907" w:type="dxa"/>
            <w:tcBorders>
              <w:right w:val="nil"/>
            </w:tcBorders>
            <w:vAlign w:val="center"/>
          </w:tcPr>
          <w:p w14:paraId="2EF6805D">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sz w:val="24"/>
                <w:szCs w:val="24"/>
                <w:lang w:eastAsia="zh-CN"/>
              </w:rPr>
              <w:t>中小企业</w:t>
            </w:r>
          </w:p>
        </w:tc>
        <w:tc>
          <w:tcPr>
            <w:tcW w:w="5583" w:type="dxa"/>
            <w:tcBorders>
              <w:left w:val="nil"/>
            </w:tcBorders>
            <w:vAlign w:val="center"/>
          </w:tcPr>
          <w:p w14:paraId="44E5743E">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14:paraId="144BDD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115613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w:t>
            </w:r>
            <w:r>
              <w:rPr>
                <w:rFonts w:hint="eastAsia" w:ascii="仿宋" w:hAnsi="仿宋" w:eastAsia="仿宋" w:cs="仿宋"/>
                <w:color w:val="auto"/>
                <w:sz w:val="24"/>
                <w:szCs w:val="24"/>
                <w:lang w:val="en-US" w:eastAsia="zh-CN"/>
              </w:rPr>
              <w:t>.1</w:t>
            </w:r>
          </w:p>
        </w:tc>
        <w:tc>
          <w:tcPr>
            <w:tcW w:w="1907" w:type="dxa"/>
            <w:shd w:val="clear" w:color="auto" w:fill="auto"/>
            <w:vAlign w:val="center"/>
          </w:tcPr>
          <w:p w14:paraId="0F824941">
            <w:pPr>
              <w:pStyle w:val="4"/>
              <w:keepNext w:val="0"/>
              <w:keepLines w:val="0"/>
              <w:pageBreakBefore w:val="0"/>
              <w:kinsoku/>
              <w:wordWrap/>
              <w:overflowPunct/>
              <w:topLinePunct w:val="0"/>
              <w:autoSpaceDE/>
              <w:autoSpaceDN/>
              <w:bidi w:val="0"/>
              <w:adjustRightInd/>
              <w:spacing w:before="0" w:beforeAutospacing="0" w:afterAutospacing="0" w:line="500" w:lineRule="exact"/>
              <w:ind w:left="0"/>
              <w:jc w:val="center"/>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是否</w:t>
            </w:r>
            <w:r>
              <w:rPr>
                <w:rFonts w:hint="eastAsia" w:ascii="仿宋" w:hAnsi="仿宋" w:eastAsia="仿宋" w:cs="仿宋"/>
                <w:color w:val="auto"/>
                <w:kern w:val="0"/>
                <w:sz w:val="24"/>
                <w:szCs w:val="24"/>
                <w:highlight w:val="none"/>
              </w:rPr>
              <w:t>专门面向</w:t>
            </w:r>
          </w:p>
          <w:p w14:paraId="4FD90185">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rPr>
              <w:t>中小企业</w:t>
            </w:r>
          </w:p>
        </w:tc>
        <w:tc>
          <w:tcPr>
            <w:tcW w:w="5583" w:type="dxa"/>
            <w:shd w:val="clear" w:color="auto" w:fill="auto"/>
            <w:vAlign w:val="center"/>
          </w:tcPr>
          <w:p w14:paraId="49E7F105">
            <w:pPr>
              <w:keepNext w:val="0"/>
              <w:keepLines w:val="0"/>
              <w:pageBreakBefore w:val="0"/>
              <w:kinsoku/>
              <w:wordWrap/>
              <w:overflowPunct/>
              <w:topLinePunct w:val="0"/>
              <w:autoSpaceDE/>
              <w:autoSpaceDN/>
              <w:bidi w:val="0"/>
              <w:adjustRightInd/>
              <w:spacing w:beforeAutospacing="0" w:afterAutospacing="0" w:line="500" w:lineRule="exact"/>
              <w:ind w:left="0" w:leftChars="0"/>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w:t>
            </w:r>
          </w:p>
        </w:tc>
      </w:tr>
      <w:tr w14:paraId="26035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6B244A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w:t>
            </w:r>
            <w:r>
              <w:rPr>
                <w:rFonts w:hint="eastAsia" w:ascii="仿宋" w:hAnsi="仿宋" w:eastAsia="仿宋" w:cs="仿宋"/>
                <w:color w:val="auto"/>
                <w:sz w:val="24"/>
                <w:szCs w:val="24"/>
                <w:lang w:val="en-US" w:eastAsia="zh-CN"/>
              </w:rPr>
              <w:t>.2</w:t>
            </w:r>
          </w:p>
        </w:tc>
        <w:tc>
          <w:tcPr>
            <w:tcW w:w="1907" w:type="dxa"/>
            <w:vAlign w:val="center"/>
          </w:tcPr>
          <w:p w14:paraId="2FF94CE0">
            <w:pPr>
              <w:keepNext w:val="0"/>
              <w:keepLines w:val="0"/>
              <w:pageBreakBefore w:val="0"/>
              <w:tabs>
                <w:tab w:val="left" w:pos="0"/>
              </w:tabs>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szCs w:val="24"/>
                <w:highlight w:val="none"/>
                <w:lang w:eastAsia="zh-CN"/>
              </w:rPr>
              <w:t>中小企业</w:t>
            </w:r>
          </w:p>
        </w:tc>
        <w:tc>
          <w:tcPr>
            <w:tcW w:w="5583" w:type="dxa"/>
            <w:vAlign w:val="center"/>
          </w:tcPr>
          <w:p w14:paraId="4D30A580">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highlight w:val="none"/>
                <w:lang w:val="en-US" w:eastAsia="zh-CN"/>
              </w:rPr>
              <w:t>中小企业判定依据：《中小企业划型标准规定》</w:t>
            </w:r>
            <w:r>
              <w:rPr>
                <w:rFonts w:hint="eastAsia" w:ascii="仿宋" w:hAnsi="仿宋" w:eastAsia="仿宋" w:cs="仿宋"/>
                <w:color w:val="auto"/>
                <w:sz w:val="24"/>
                <w:szCs w:val="24"/>
                <w:lang w:val="en-US" w:eastAsia="zh-CN"/>
              </w:rPr>
              <w:t>。</w:t>
            </w:r>
          </w:p>
          <w:p w14:paraId="5EC0A5F8">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2.中小企业，是指在中华人民共和国境内依法设立，依据国务院批准的中小企业划分标准确定的中型企业、小型企业和微型企业，但与大企业的负责人为同一人，或者与大企业存在直接控股、管理关系的除外。</w:t>
            </w:r>
          </w:p>
          <w:p w14:paraId="6E263261">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3.符合中小企业划分标准的个体工商户，在政府采购活动中视同中小企业。符合条件的监狱企业、残疾人福利性单位视同小微企业，在参加政府采购活动时享受扶持政策。</w:t>
            </w:r>
          </w:p>
          <w:p w14:paraId="201E7148">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4.供应商提供《</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》（或《残疾人福利性单位声明函》、《监狱或戒毒企业声明函》），并对声明的真实性、准确性</w:t>
            </w:r>
            <w:r>
              <w:rPr>
                <w:rFonts w:hint="eastAsia" w:ascii="仿宋" w:hAnsi="仿宋" w:eastAsia="仿宋" w:cs="仿宋"/>
                <w:color w:val="auto"/>
                <w:kern w:val="0"/>
                <w:sz w:val="24"/>
                <w:lang w:val="en-US" w:eastAsia="zh-CN"/>
              </w:rPr>
              <w:t>、有效性</w:t>
            </w:r>
            <w:r>
              <w:rPr>
                <w:rFonts w:hint="eastAsia" w:ascii="仿宋" w:hAnsi="仿宋" w:eastAsia="仿宋" w:cs="仿宋"/>
                <w:color w:val="auto"/>
                <w:kern w:val="0"/>
                <w:sz w:val="24"/>
              </w:rPr>
              <w:t>负责</w:t>
            </w:r>
            <w:r>
              <w:rPr>
                <w:rFonts w:hint="eastAsia" w:ascii="仿宋" w:hAnsi="仿宋" w:eastAsia="仿宋" w:cs="仿宋"/>
                <w:color w:val="auto"/>
                <w:kern w:val="0"/>
                <w:sz w:val="24"/>
                <w:lang w:eastAsia="zh-CN"/>
              </w:rPr>
              <w:t>。</w:t>
            </w:r>
          </w:p>
          <w:p w14:paraId="08B0A0EC">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5.中标人提供的《</w:t>
            </w:r>
            <w:r>
              <w:rPr>
                <w:rFonts w:hint="eastAsia" w:ascii="仿宋" w:hAnsi="仿宋" w:eastAsia="仿宋" w:cs="仿宋"/>
                <w:color w:val="auto"/>
                <w:kern w:val="0"/>
                <w:sz w:val="24"/>
                <w:highlight w:val="none"/>
                <w:lang w:val="en-US" w:eastAsia="zh-CN"/>
              </w:rPr>
              <w:t>中</w:t>
            </w:r>
            <w:r>
              <w:rPr>
                <w:rFonts w:hint="eastAsia" w:ascii="仿宋" w:hAnsi="仿宋" w:eastAsia="仿宋" w:cs="仿宋"/>
                <w:color w:val="auto"/>
                <w:kern w:val="0"/>
                <w:sz w:val="24"/>
                <w:highlight w:val="none"/>
              </w:rPr>
              <w:t>小企业</w:t>
            </w:r>
            <w:r>
              <w:rPr>
                <w:rFonts w:hint="eastAsia" w:ascii="仿宋" w:hAnsi="仿宋" w:eastAsia="仿宋" w:cs="仿宋"/>
                <w:color w:val="auto"/>
                <w:kern w:val="0"/>
                <w:sz w:val="24"/>
              </w:rPr>
              <w:t>声明函</w:t>
            </w:r>
            <w:r>
              <w:rPr>
                <w:rFonts w:hint="eastAsia" w:ascii="仿宋" w:hAnsi="仿宋" w:eastAsia="仿宋" w:cs="仿宋"/>
                <w:color w:val="auto"/>
                <w:sz w:val="24"/>
                <w:szCs w:val="24"/>
                <w:lang w:val="en-US" w:eastAsia="zh-CN"/>
              </w:rPr>
              <w:t>》、《残疾人福利性单位声明函》、《监狱或戒毒企业声明函》随同中标结果公示，接受社会监督，若有不实，将承担经济和法律后果。</w:t>
            </w:r>
          </w:p>
          <w:p w14:paraId="044A2864">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lang w:val="en-US" w:eastAsia="zh-CN"/>
              </w:rPr>
              <w:t>6.</w:t>
            </w:r>
            <w:r>
              <w:rPr>
                <w:rFonts w:hint="eastAsia" w:ascii="仿宋" w:hAnsi="仿宋" w:eastAsia="仿宋" w:cs="仿宋"/>
                <w:color w:val="auto"/>
                <w:sz w:val="24"/>
                <w:szCs w:val="24"/>
                <w:highlight w:val="none"/>
                <w:lang w:val="en-US" w:eastAsia="zh-CN"/>
              </w:rPr>
              <w:t>享受扶持政策获得政府采购合同的，小微企业不得将合同分包给大中型企业，中型企业不得将合同分包给大型企业。</w:t>
            </w:r>
          </w:p>
          <w:p w14:paraId="5C099971">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7.发生纠纷时，</w:t>
            </w:r>
            <w:r>
              <w:rPr>
                <w:rFonts w:hint="eastAsia" w:ascii="仿宋" w:hAnsi="仿宋" w:eastAsia="仿宋" w:cs="仿宋"/>
                <w:color w:val="auto"/>
                <w:sz w:val="24"/>
                <w:szCs w:val="24"/>
                <w:highlight w:val="none"/>
              </w:rPr>
              <w:t>对中小企业的</w:t>
            </w:r>
            <w:r>
              <w:rPr>
                <w:rFonts w:hint="eastAsia" w:ascii="仿宋" w:hAnsi="仿宋" w:eastAsia="仿宋" w:cs="仿宋"/>
                <w:color w:val="auto"/>
                <w:sz w:val="24"/>
                <w:szCs w:val="24"/>
                <w:highlight w:val="none"/>
                <w:lang w:val="en-US" w:eastAsia="zh-CN"/>
              </w:rPr>
              <w:t>最终</w:t>
            </w:r>
            <w:r>
              <w:rPr>
                <w:rFonts w:hint="eastAsia" w:ascii="仿宋" w:hAnsi="仿宋" w:eastAsia="仿宋" w:cs="仿宋"/>
                <w:color w:val="auto"/>
                <w:sz w:val="24"/>
                <w:szCs w:val="24"/>
                <w:highlight w:val="none"/>
              </w:rPr>
              <w:t>认定，由</w:t>
            </w:r>
            <w:r>
              <w:rPr>
                <w:rFonts w:hint="eastAsia" w:ascii="仿宋" w:hAnsi="仿宋" w:eastAsia="仿宋" w:cs="仿宋"/>
                <w:color w:val="auto"/>
                <w:sz w:val="24"/>
                <w:szCs w:val="24"/>
                <w:highlight w:val="none"/>
                <w:lang w:val="en-US" w:eastAsia="zh-CN"/>
              </w:rPr>
              <w:t>投标企业</w:t>
            </w:r>
            <w:r>
              <w:rPr>
                <w:rFonts w:hint="eastAsia" w:ascii="仿宋" w:hAnsi="仿宋" w:eastAsia="仿宋" w:cs="仿宋"/>
                <w:color w:val="auto"/>
                <w:sz w:val="24"/>
                <w:szCs w:val="24"/>
                <w:highlight w:val="none"/>
              </w:rPr>
              <w:t>注册登记所在地的县级以上人民政府中小企业主管部门负责。</w:t>
            </w:r>
          </w:p>
        </w:tc>
      </w:tr>
      <w:tr w14:paraId="0C920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53FF7EA">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w:t>
            </w:r>
            <w:r>
              <w:rPr>
                <w:rFonts w:hint="eastAsia" w:ascii="仿宋" w:hAnsi="仿宋" w:eastAsia="仿宋" w:cs="仿宋"/>
                <w:color w:val="auto"/>
                <w:sz w:val="24"/>
                <w:szCs w:val="24"/>
                <w:lang w:val="en-US" w:eastAsia="zh-CN"/>
              </w:rPr>
              <w:t>.3</w:t>
            </w:r>
          </w:p>
        </w:tc>
        <w:tc>
          <w:tcPr>
            <w:tcW w:w="1907" w:type="dxa"/>
            <w:vAlign w:val="center"/>
          </w:tcPr>
          <w:p w14:paraId="3A0351EC">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中小企业</w:t>
            </w:r>
          </w:p>
          <w:p w14:paraId="1637AE3B">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center"/>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划型标准</w:t>
            </w:r>
          </w:p>
        </w:tc>
        <w:tc>
          <w:tcPr>
            <w:tcW w:w="5583" w:type="dxa"/>
            <w:vAlign w:val="center"/>
          </w:tcPr>
          <w:p w14:paraId="0115A121">
            <w:pPr>
              <w:pStyle w:val="4"/>
              <w:keepNext w:val="0"/>
              <w:keepLines w:val="0"/>
              <w:pageBreakBefore w:val="0"/>
              <w:widowControl w:val="0"/>
              <w:kinsoku/>
              <w:wordWrap/>
              <w:overflowPunct/>
              <w:topLinePunct w:val="0"/>
              <w:autoSpaceDE/>
              <w:autoSpaceDN/>
              <w:bidi w:val="0"/>
              <w:adjustRightInd/>
              <w:snapToGrid/>
              <w:spacing w:before="0" w:beforeAutospacing="0" w:afterAutospacing="0" w:line="500" w:lineRule="exact"/>
              <w:ind w:left="0" w:leftChars="0"/>
              <w:jc w:val="both"/>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b/>
                <w:bCs/>
                <w:color w:val="auto"/>
                <w:kern w:val="2"/>
                <w:sz w:val="24"/>
                <w:szCs w:val="24"/>
                <w:highlight w:val="none"/>
                <w:lang w:val="en-US" w:eastAsia="zh-CN" w:bidi="ar-SA"/>
              </w:rPr>
              <w:t>1.本项目所属行业：</w:t>
            </w:r>
            <w:r>
              <w:rPr>
                <w:rFonts w:hint="eastAsia" w:ascii="仿宋" w:hAnsi="仿宋" w:eastAsia="仿宋" w:cs="仿宋"/>
                <w:snapToGrid w:val="0"/>
                <w:color w:val="auto"/>
                <w:kern w:val="0"/>
                <w:sz w:val="24"/>
                <w:szCs w:val="24"/>
                <w:highlight w:val="none"/>
                <w:lang w:val="en-US" w:eastAsia="zh-CN" w:bidi="ar-SA"/>
              </w:rPr>
              <w:t>工业</w:t>
            </w:r>
          </w:p>
          <w:p w14:paraId="0887B8F1">
            <w:pPr>
              <w:pStyle w:val="6"/>
              <w:keepNext w:val="0"/>
              <w:keepLines w:val="0"/>
              <w:pageBreakBefore w:val="0"/>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b/>
                <w:bCs/>
                <w:color w:val="auto"/>
                <w:kern w:val="2"/>
                <w:sz w:val="24"/>
                <w:szCs w:val="24"/>
                <w:highlight w:val="none"/>
                <w:lang w:val="en-US" w:eastAsia="zh-CN" w:bidi="ar-SA"/>
              </w:rPr>
              <w:t>2.划型标准</w:t>
            </w:r>
            <w:r>
              <w:rPr>
                <w:rFonts w:hint="eastAsia" w:ascii="仿宋" w:hAnsi="仿宋" w:eastAsia="仿宋" w:cs="仿宋"/>
                <w:color w:val="auto"/>
                <w:kern w:val="2"/>
                <w:sz w:val="24"/>
                <w:szCs w:val="24"/>
                <w:highlight w:val="none"/>
                <w:lang w:val="en-US" w:eastAsia="zh-CN" w:bidi="ar-SA"/>
              </w:rPr>
              <w:t>：</w:t>
            </w:r>
            <w:r>
              <w:rPr>
                <w:rFonts w:hint="default" w:ascii="仿宋" w:hAnsi="仿宋" w:eastAsia="仿宋" w:cs="仿宋"/>
                <w:snapToGrid w:val="0"/>
                <w:color w:val="auto"/>
                <w:kern w:val="0"/>
                <w:sz w:val="24"/>
                <w:szCs w:val="24"/>
                <w:highlight w:val="none"/>
                <w:lang w:val="en-US" w:eastAsia="zh-CN" w:bidi="ar-SA"/>
              </w:rPr>
              <w:t>①</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1000人，营业收入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40000万元，为大型企业；</w:t>
            </w:r>
            <w:r>
              <w:rPr>
                <w:rFonts w:hint="default" w:ascii="仿宋" w:hAnsi="仿宋" w:eastAsia="仿宋" w:cs="仿宋"/>
                <w:snapToGrid w:val="0"/>
                <w:color w:val="auto"/>
                <w:kern w:val="0"/>
                <w:sz w:val="24"/>
                <w:szCs w:val="24"/>
                <w:highlight w:val="none"/>
                <w:lang w:val="en-US" w:eastAsia="zh-CN" w:bidi="ar-SA"/>
              </w:rPr>
              <w:t>②</w:t>
            </w:r>
            <w:r>
              <w:rPr>
                <w:rFonts w:hint="eastAsia" w:ascii="仿宋" w:hAnsi="仿宋" w:eastAsia="仿宋" w:cs="仿宋"/>
                <w:snapToGrid w:val="0"/>
                <w:color w:val="auto"/>
                <w:kern w:val="0"/>
                <w:sz w:val="24"/>
                <w:szCs w:val="24"/>
                <w:highlight w:val="none"/>
                <w:lang w:val="en-US" w:eastAsia="zh-CN" w:bidi="ar-SA"/>
              </w:rPr>
              <w:t>300人</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1000人，且2000万元</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40000万元，为中型企业；</w:t>
            </w:r>
            <w:r>
              <w:rPr>
                <w:rFonts w:hint="default" w:ascii="仿宋" w:hAnsi="仿宋" w:eastAsia="仿宋" w:cs="仿宋"/>
                <w:snapToGrid w:val="0"/>
                <w:color w:val="auto"/>
                <w:kern w:val="0"/>
                <w:sz w:val="24"/>
                <w:szCs w:val="24"/>
                <w:highlight w:val="none"/>
                <w:lang w:val="en-US" w:eastAsia="zh-CN" w:bidi="ar-SA"/>
              </w:rPr>
              <w:t>③</w:t>
            </w:r>
            <w:r>
              <w:rPr>
                <w:rFonts w:hint="eastAsia" w:ascii="仿宋" w:hAnsi="仿宋" w:eastAsia="仿宋" w:cs="仿宋"/>
                <w:snapToGrid w:val="0"/>
                <w:color w:val="auto"/>
                <w:kern w:val="0"/>
                <w:sz w:val="24"/>
                <w:szCs w:val="24"/>
                <w:highlight w:val="none"/>
                <w:lang w:val="en-US" w:eastAsia="zh-CN" w:bidi="ar-SA"/>
              </w:rPr>
              <w:t>20人</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300人，且300万元</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2000万元，为小型企业；</w:t>
            </w:r>
            <w:r>
              <w:rPr>
                <w:rFonts w:hint="default" w:ascii="仿宋" w:hAnsi="仿宋" w:eastAsia="仿宋" w:cs="仿宋"/>
                <w:snapToGrid w:val="0"/>
                <w:color w:val="auto"/>
                <w:kern w:val="0"/>
                <w:sz w:val="24"/>
                <w:szCs w:val="24"/>
                <w:highlight w:val="none"/>
                <w:lang w:val="en-US" w:eastAsia="zh-CN" w:bidi="ar-SA"/>
              </w:rPr>
              <w:t>④</w:t>
            </w:r>
            <w:r>
              <w:rPr>
                <w:rFonts w:hint="eastAsia" w:ascii="仿宋" w:hAnsi="仿宋" w:eastAsia="仿宋" w:cs="仿宋"/>
                <w:snapToGrid w:val="0"/>
                <w:color w:val="auto"/>
                <w:kern w:val="0"/>
                <w:sz w:val="24"/>
                <w:szCs w:val="24"/>
                <w:highlight w:val="none"/>
                <w:lang w:val="en-US" w:eastAsia="zh-CN" w:bidi="ar-SA"/>
              </w:rPr>
              <w:t>从业人员</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20人，或营业收入</w:t>
            </w:r>
            <w:r>
              <w:rPr>
                <w:rFonts w:hint="default" w:ascii="仿宋" w:hAnsi="仿宋" w:eastAsia="仿宋" w:cs="仿宋"/>
                <w:snapToGrid w:val="0"/>
                <w:color w:val="auto"/>
                <w:kern w:val="0"/>
                <w:sz w:val="24"/>
                <w:szCs w:val="24"/>
                <w:highlight w:val="none"/>
                <w:lang w:val="en-US" w:eastAsia="zh-CN" w:bidi="ar-SA"/>
              </w:rPr>
              <w:t>＜</w:t>
            </w:r>
            <w:r>
              <w:rPr>
                <w:rFonts w:hint="eastAsia" w:ascii="仿宋" w:hAnsi="仿宋" w:eastAsia="仿宋" w:cs="仿宋"/>
                <w:snapToGrid w:val="0"/>
                <w:color w:val="auto"/>
                <w:kern w:val="0"/>
                <w:sz w:val="24"/>
                <w:szCs w:val="24"/>
                <w:highlight w:val="none"/>
                <w:lang w:val="en-US" w:eastAsia="zh-CN" w:bidi="ar-SA"/>
              </w:rPr>
              <w:t>300万元，为微型企业。</w:t>
            </w:r>
          </w:p>
        </w:tc>
      </w:tr>
      <w:tr w14:paraId="75F6C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110CC9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12.4</w:t>
            </w:r>
          </w:p>
        </w:tc>
        <w:tc>
          <w:tcPr>
            <w:tcW w:w="1907" w:type="dxa"/>
            <w:vAlign w:val="center"/>
          </w:tcPr>
          <w:p w14:paraId="229E339E">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中小企业声明函填写说明</w:t>
            </w:r>
          </w:p>
        </w:tc>
        <w:tc>
          <w:tcPr>
            <w:tcW w:w="5583" w:type="dxa"/>
            <w:vAlign w:val="center"/>
          </w:tcPr>
          <w:p w14:paraId="14E1E6C2">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both"/>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从业人员、营业收入、资产总额填报上一年度数据，无上一年度数据的新成立企业从业人员、营业收入、资产总额均填0，根据提交投标（响应）文件时的实际情况填写企业类型。</w:t>
            </w:r>
          </w:p>
        </w:tc>
      </w:tr>
      <w:tr w14:paraId="08C02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43828F9">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12.5</w:t>
            </w:r>
          </w:p>
        </w:tc>
        <w:tc>
          <w:tcPr>
            <w:tcW w:w="1907" w:type="dxa"/>
            <w:vAlign w:val="center"/>
          </w:tcPr>
          <w:p w14:paraId="60AEF7A1">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声明函澄清、</w:t>
            </w:r>
          </w:p>
          <w:p w14:paraId="22EC9E37">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rPr>
              <w:t>修正</w:t>
            </w:r>
          </w:p>
        </w:tc>
        <w:tc>
          <w:tcPr>
            <w:tcW w:w="5583" w:type="dxa"/>
            <w:vAlign w:val="center"/>
          </w:tcPr>
          <w:p w14:paraId="39820A2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声明函中存在明显笔误、划</w:t>
            </w:r>
            <w:r>
              <w:rPr>
                <w:rFonts w:hint="default" w:ascii="仿宋" w:hAnsi="仿宋" w:eastAsia="仿宋" w:cs="仿宋"/>
                <w:color w:val="auto"/>
                <w:sz w:val="24"/>
                <w:szCs w:val="24"/>
                <w:lang w:val="en-US" w:eastAsia="zh-CN"/>
              </w:rPr>
              <w:t>型</w:t>
            </w:r>
            <w:r>
              <w:rPr>
                <w:rFonts w:hint="eastAsia" w:ascii="仿宋" w:hAnsi="仿宋" w:eastAsia="仿宋" w:cs="仿宋"/>
                <w:color w:val="auto"/>
                <w:sz w:val="24"/>
                <w:szCs w:val="24"/>
                <w:lang w:val="en-US" w:eastAsia="zh-CN"/>
              </w:rPr>
              <w:t>错误、同一内容前后不一致等无主观故意为之的</w:t>
            </w:r>
            <w:r>
              <w:rPr>
                <w:rFonts w:hint="default" w:ascii="仿宋" w:hAnsi="仿宋" w:eastAsia="仿宋" w:cs="仿宋"/>
                <w:color w:val="auto"/>
                <w:sz w:val="24"/>
                <w:szCs w:val="24"/>
                <w:lang w:val="en-US" w:eastAsia="zh-CN"/>
              </w:rPr>
              <w:t>情</w:t>
            </w:r>
            <w:r>
              <w:rPr>
                <w:rFonts w:hint="eastAsia" w:ascii="仿宋" w:hAnsi="仿宋" w:eastAsia="仿宋" w:cs="仿宋"/>
                <w:color w:val="auto"/>
                <w:sz w:val="24"/>
                <w:szCs w:val="24"/>
                <w:lang w:val="en-US" w:eastAsia="zh-CN"/>
              </w:rPr>
              <w:t>形，评标小组可要求供应商予以澄清，澄清后符合中小企业条件的，该声明函有效，否则无效，不享受价格优惠。</w:t>
            </w:r>
          </w:p>
        </w:tc>
      </w:tr>
      <w:tr w14:paraId="759B4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7A406CE">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w:t>
            </w:r>
          </w:p>
        </w:tc>
        <w:tc>
          <w:tcPr>
            <w:tcW w:w="1907" w:type="dxa"/>
            <w:tcBorders>
              <w:right w:val="nil"/>
            </w:tcBorders>
            <w:vAlign w:val="center"/>
          </w:tcPr>
          <w:p w14:paraId="3DCE8484">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合同</w:t>
            </w:r>
          </w:p>
        </w:tc>
        <w:tc>
          <w:tcPr>
            <w:tcW w:w="5583" w:type="dxa"/>
            <w:tcBorders>
              <w:left w:val="nil"/>
            </w:tcBorders>
            <w:vAlign w:val="center"/>
          </w:tcPr>
          <w:p w14:paraId="79E5508C">
            <w:pPr>
              <w:keepNext w:val="0"/>
              <w:keepLines w:val="0"/>
              <w:pageBreakBefore w:val="0"/>
              <w:tabs>
                <w:tab w:val="left" w:pos="7013"/>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p>
        </w:tc>
      </w:tr>
      <w:tr w14:paraId="28149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7F73C6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13.1</w:t>
            </w:r>
          </w:p>
        </w:tc>
        <w:tc>
          <w:tcPr>
            <w:tcW w:w="1907" w:type="dxa"/>
            <w:vAlign w:val="center"/>
          </w:tcPr>
          <w:p w14:paraId="25D1D3D1">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合同类型</w:t>
            </w:r>
          </w:p>
        </w:tc>
        <w:tc>
          <w:tcPr>
            <w:tcW w:w="5583" w:type="dxa"/>
            <w:vAlign w:val="center"/>
          </w:tcPr>
          <w:p w14:paraId="14EAB5F6">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固定总价合同。</w:t>
            </w:r>
          </w:p>
        </w:tc>
      </w:tr>
      <w:tr w14:paraId="3D42B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12B0FF1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13.2</w:t>
            </w:r>
          </w:p>
        </w:tc>
        <w:tc>
          <w:tcPr>
            <w:tcW w:w="1907" w:type="dxa"/>
            <w:shd w:val="clear" w:color="auto" w:fill="auto"/>
            <w:vAlign w:val="center"/>
          </w:tcPr>
          <w:p w14:paraId="62B5DC8F">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签订合同</w:t>
            </w:r>
          </w:p>
        </w:tc>
        <w:tc>
          <w:tcPr>
            <w:tcW w:w="5583" w:type="dxa"/>
            <w:shd w:val="clear" w:color="auto" w:fill="auto"/>
            <w:vAlign w:val="center"/>
          </w:tcPr>
          <w:p w14:paraId="1E3EEF29">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1、</w:t>
            </w:r>
            <w:r>
              <w:rPr>
                <w:rFonts w:hint="eastAsia" w:ascii="仿宋" w:hAnsi="仿宋" w:eastAsia="仿宋" w:cs="仿宋"/>
                <w:bCs/>
                <w:color w:val="auto"/>
                <w:sz w:val="24"/>
                <w:szCs w:val="24"/>
                <w:lang w:val="en-US" w:eastAsia="zh-CN"/>
              </w:rPr>
              <w:t>自中标</w:t>
            </w:r>
            <w:r>
              <w:rPr>
                <w:rFonts w:hint="eastAsia" w:ascii="仿宋" w:hAnsi="仿宋" w:eastAsia="仿宋" w:cs="仿宋"/>
                <w:bCs/>
                <w:color w:val="auto"/>
                <w:sz w:val="24"/>
                <w:szCs w:val="24"/>
              </w:rPr>
              <w:t>通知书</w:t>
            </w:r>
            <w:r>
              <w:rPr>
                <w:rFonts w:hint="eastAsia" w:ascii="仿宋" w:hAnsi="仿宋" w:eastAsia="仿宋" w:cs="仿宋"/>
                <w:bCs/>
                <w:color w:val="auto"/>
                <w:sz w:val="24"/>
                <w:szCs w:val="24"/>
                <w:lang w:val="en-US" w:eastAsia="zh-CN"/>
              </w:rPr>
              <w:t>发出之日起</w:t>
            </w:r>
            <w:r>
              <w:rPr>
                <w:rFonts w:hint="eastAsia" w:ascii="仿宋" w:hAnsi="仿宋" w:eastAsia="仿宋" w:cs="仿宋"/>
                <w:bCs/>
                <w:color w:val="auto"/>
                <w:sz w:val="24"/>
                <w:szCs w:val="24"/>
                <w:highlight w:val="none"/>
                <w:lang w:val="en-US" w:eastAsia="zh-CN"/>
              </w:rPr>
              <w:t>三十</w:t>
            </w:r>
            <w:r>
              <w:rPr>
                <w:rFonts w:hint="eastAsia" w:ascii="仿宋" w:hAnsi="仿宋" w:eastAsia="仿宋" w:cs="仿宋"/>
                <w:bCs/>
                <w:color w:val="auto"/>
                <w:sz w:val="24"/>
                <w:szCs w:val="24"/>
                <w:highlight w:val="none"/>
                <w:lang w:eastAsia="zh-CN"/>
              </w:rPr>
              <w:t>日（</w:t>
            </w:r>
            <w:r>
              <w:rPr>
                <w:rFonts w:hint="eastAsia" w:ascii="仿宋" w:hAnsi="仿宋" w:eastAsia="仿宋" w:cs="仿宋"/>
                <w:bCs/>
                <w:color w:val="auto"/>
                <w:sz w:val="24"/>
                <w:szCs w:val="24"/>
                <w:highlight w:val="none"/>
                <w:lang w:val="en-US" w:eastAsia="zh-CN"/>
              </w:rPr>
              <w:t>按照政府采购最新政策规定，应当自</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highlight w:val="none"/>
                <w:lang w:val="en-US" w:eastAsia="zh-CN"/>
              </w:rPr>
              <w:t>通知书发出之日起二十五日</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rPr>
              <w:t>内</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采购人与中标人按照招标文件确定的事项和投标文件订立书面合同。采购人和中标人不得再行订立背离合同实质性内容的其他协议</w:t>
            </w:r>
            <w:r>
              <w:rPr>
                <w:rFonts w:hint="eastAsia" w:ascii="仿宋" w:hAnsi="仿宋" w:eastAsia="仿宋" w:cs="仿宋"/>
                <w:bCs/>
                <w:color w:val="auto"/>
                <w:sz w:val="24"/>
                <w:szCs w:val="24"/>
                <w:lang w:eastAsia="zh-CN"/>
              </w:rPr>
              <w:t>。</w:t>
            </w:r>
          </w:p>
          <w:p w14:paraId="499F9726">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招标文件要求中标人提交履约保证金或者其他形式履约或风险保证的，中标人应当提交；拒绝提交的，视为放弃中标资格</w:t>
            </w:r>
            <w:r>
              <w:rPr>
                <w:rFonts w:hint="eastAsia" w:ascii="仿宋" w:hAnsi="仿宋" w:eastAsia="仿宋" w:cs="仿宋"/>
                <w:bCs/>
                <w:color w:val="auto"/>
                <w:sz w:val="24"/>
                <w:szCs w:val="24"/>
                <w:lang w:eastAsia="zh-CN"/>
              </w:rPr>
              <w:t>。</w:t>
            </w:r>
          </w:p>
          <w:p w14:paraId="69F8C040">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rPr>
              <w:t>3、</w:t>
            </w:r>
            <w:r>
              <w:rPr>
                <w:rFonts w:hint="eastAsia" w:ascii="仿宋" w:hAnsi="仿宋" w:eastAsia="仿宋" w:cs="仿宋"/>
                <w:bCs/>
                <w:color w:val="auto"/>
                <w:sz w:val="24"/>
                <w:szCs w:val="24"/>
                <w:lang w:val="en-US" w:eastAsia="zh-CN"/>
              </w:rPr>
              <w:t>甲乙双方无正当理由不按规定签订合同，或在签订合同时向对方提出附加条件，更改合同实质性内容的，依法承担相应法律责任；给对方造成损失的应当赔偿。</w:t>
            </w:r>
          </w:p>
          <w:p w14:paraId="13809DB9">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lang w:eastAsia="zh-CN"/>
              </w:rPr>
            </w:pPr>
            <w:r>
              <w:rPr>
                <w:rFonts w:hint="eastAsia" w:ascii="仿宋" w:hAnsi="仿宋" w:eastAsia="仿宋" w:cs="仿宋"/>
                <w:bCs/>
                <w:color w:val="auto"/>
                <w:sz w:val="24"/>
                <w:szCs w:val="24"/>
              </w:rPr>
              <w:t>4、</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通知书是合同的重要组成部分。</w:t>
            </w:r>
            <w:r>
              <w:rPr>
                <w:rFonts w:hint="eastAsia" w:ascii="仿宋" w:hAnsi="仿宋" w:eastAsia="仿宋" w:cs="仿宋"/>
                <w:bCs/>
                <w:color w:val="auto"/>
                <w:sz w:val="24"/>
                <w:szCs w:val="24"/>
                <w:lang w:val="en-US" w:eastAsia="zh-CN"/>
              </w:rPr>
              <w:t>招标</w:t>
            </w:r>
            <w:r>
              <w:rPr>
                <w:rFonts w:hint="eastAsia" w:ascii="仿宋" w:hAnsi="仿宋" w:eastAsia="仿宋" w:cs="仿宋"/>
                <w:bCs/>
                <w:color w:val="auto"/>
                <w:sz w:val="24"/>
                <w:szCs w:val="24"/>
              </w:rPr>
              <w:t>文件、</w:t>
            </w:r>
            <w:r>
              <w:rPr>
                <w:rFonts w:hint="eastAsia" w:ascii="仿宋" w:hAnsi="仿宋" w:eastAsia="仿宋" w:cs="仿宋"/>
                <w:bCs/>
                <w:color w:val="auto"/>
                <w:sz w:val="24"/>
                <w:szCs w:val="24"/>
                <w:lang w:val="en-US" w:eastAsia="zh-CN"/>
              </w:rPr>
              <w:t>投标</w:t>
            </w:r>
            <w:r>
              <w:rPr>
                <w:rFonts w:hint="eastAsia" w:ascii="仿宋" w:hAnsi="仿宋" w:eastAsia="仿宋" w:cs="仿宋"/>
                <w:bCs/>
                <w:color w:val="auto"/>
                <w:sz w:val="24"/>
                <w:szCs w:val="24"/>
              </w:rPr>
              <w:t>文件及评审过程中有关的澄清文件均作为合同附件</w:t>
            </w:r>
            <w:r>
              <w:rPr>
                <w:rFonts w:hint="eastAsia" w:ascii="仿宋" w:hAnsi="仿宋" w:eastAsia="仿宋" w:cs="仿宋"/>
                <w:bCs/>
                <w:color w:val="auto"/>
                <w:sz w:val="24"/>
                <w:szCs w:val="24"/>
                <w:lang w:eastAsia="zh-CN"/>
              </w:rPr>
              <w:t>。</w:t>
            </w:r>
            <w:r>
              <w:rPr>
                <w:rFonts w:hint="eastAsia" w:ascii="仿宋" w:hAnsi="仿宋" w:eastAsia="仿宋" w:cs="仿宋"/>
                <w:bCs/>
                <w:color w:val="auto"/>
                <w:sz w:val="24"/>
                <w:szCs w:val="24"/>
                <w:lang w:val="en-US" w:eastAsia="zh-CN"/>
              </w:rPr>
              <w:t>中标无效的，发出的中标通知书和签订的合同自始没有法律约束力，但不影响合同中独立存在的有关解决争议方法的条款的效力。</w:t>
            </w:r>
          </w:p>
          <w:p w14:paraId="264E9A99">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5</w:t>
            </w:r>
            <w:r>
              <w:rPr>
                <w:rFonts w:hint="eastAsia" w:ascii="仿宋" w:hAnsi="仿宋" w:eastAsia="仿宋" w:cs="仿宋"/>
                <w:bCs/>
                <w:color w:val="auto"/>
                <w:sz w:val="24"/>
                <w:szCs w:val="24"/>
              </w:rPr>
              <w:t>、</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人应按照合同约定履行义务。</w:t>
            </w:r>
          </w:p>
          <w:p w14:paraId="23385480">
            <w:pPr>
              <w:keepNext w:val="0"/>
              <w:keepLines w:val="0"/>
              <w:pageBreakBefore w:val="0"/>
              <w:tabs>
                <w:tab w:val="left" w:pos="0"/>
              </w:tabs>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6</w:t>
            </w:r>
            <w:r>
              <w:rPr>
                <w:rFonts w:hint="eastAsia" w:ascii="仿宋" w:hAnsi="仿宋" w:eastAsia="仿宋" w:cs="仿宋"/>
                <w:bCs/>
                <w:color w:val="auto"/>
                <w:sz w:val="24"/>
                <w:szCs w:val="24"/>
              </w:rPr>
              <w:t>、合同不得对</w:t>
            </w:r>
            <w:r>
              <w:rPr>
                <w:rFonts w:hint="eastAsia" w:ascii="仿宋" w:hAnsi="仿宋" w:eastAsia="仿宋" w:cs="仿宋"/>
                <w:bCs/>
                <w:color w:val="auto"/>
                <w:sz w:val="24"/>
                <w:szCs w:val="24"/>
                <w:lang w:val="en-US" w:eastAsia="zh-CN"/>
              </w:rPr>
              <w:t>招标</w:t>
            </w:r>
            <w:r>
              <w:rPr>
                <w:rFonts w:hint="eastAsia" w:ascii="仿宋" w:hAnsi="仿宋" w:eastAsia="仿宋" w:cs="仿宋"/>
                <w:bCs/>
                <w:color w:val="auto"/>
                <w:sz w:val="24"/>
                <w:szCs w:val="24"/>
              </w:rPr>
              <w:t>文件确定的事项和</w:t>
            </w:r>
            <w:r>
              <w:rPr>
                <w:rFonts w:hint="eastAsia" w:ascii="仿宋" w:hAnsi="仿宋" w:eastAsia="仿宋" w:cs="仿宋"/>
                <w:bCs/>
                <w:color w:val="auto"/>
                <w:sz w:val="24"/>
                <w:szCs w:val="24"/>
                <w:lang w:val="en-US" w:eastAsia="zh-CN"/>
              </w:rPr>
              <w:t>中标</w:t>
            </w:r>
            <w:r>
              <w:rPr>
                <w:rFonts w:hint="eastAsia" w:ascii="仿宋" w:hAnsi="仿宋" w:eastAsia="仿宋" w:cs="仿宋"/>
                <w:bCs/>
                <w:color w:val="auto"/>
                <w:sz w:val="24"/>
                <w:szCs w:val="24"/>
              </w:rPr>
              <w:t>人</w:t>
            </w:r>
            <w:r>
              <w:rPr>
                <w:rFonts w:hint="eastAsia" w:ascii="仿宋" w:hAnsi="仿宋" w:eastAsia="仿宋" w:cs="仿宋"/>
                <w:bCs/>
                <w:color w:val="auto"/>
                <w:sz w:val="24"/>
                <w:szCs w:val="24"/>
                <w:lang w:val="en-US" w:eastAsia="zh-CN"/>
              </w:rPr>
              <w:t>的投标</w:t>
            </w:r>
            <w:r>
              <w:rPr>
                <w:rFonts w:hint="eastAsia" w:ascii="仿宋" w:hAnsi="仿宋" w:eastAsia="仿宋" w:cs="仿宋"/>
                <w:bCs/>
                <w:color w:val="auto"/>
                <w:sz w:val="24"/>
                <w:szCs w:val="24"/>
              </w:rPr>
              <w:t>文件作实质性修改。</w:t>
            </w:r>
          </w:p>
        </w:tc>
      </w:tr>
      <w:tr w14:paraId="3D662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51E8FB41">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13.3</w:t>
            </w:r>
          </w:p>
        </w:tc>
        <w:tc>
          <w:tcPr>
            <w:tcW w:w="1907" w:type="dxa"/>
            <w:vAlign w:val="center"/>
          </w:tcPr>
          <w:p w14:paraId="1A05B601">
            <w:pPr>
              <w:pStyle w:val="4"/>
              <w:keepNext w:val="0"/>
              <w:keepLines w:val="0"/>
              <w:pageBreakBefore w:val="0"/>
              <w:kinsoku/>
              <w:wordWrap/>
              <w:overflowPunct/>
              <w:topLinePunct w:val="0"/>
              <w:autoSpaceDE/>
              <w:autoSpaceDN/>
              <w:bidi w:val="0"/>
              <w:adjustRightInd/>
              <w:spacing w:before="0" w:beforeAutospacing="0" w:afterAutospacing="0" w:line="500" w:lineRule="exact"/>
              <w:jc w:val="center"/>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合同分包、转包</w:t>
            </w:r>
          </w:p>
        </w:tc>
        <w:tc>
          <w:tcPr>
            <w:tcW w:w="5583" w:type="dxa"/>
            <w:vAlign w:val="center"/>
          </w:tcPr>
          <w:p w14:paraId="4D5BEF0F">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lang w:val="en-US" w:eastAsia="zh-CN"/>
              </w:rPr>
            </w:pPr>
            <w:r>
              <w:rPr>
                <w:rFonts w:hint="eastAsia" w:ascii="仿宋" w:hAnsi="仿宋" w:eastAsia="仿宋" w:cs="仿宋"/>
                <w:color w:val="auto"/>
                <w:kern w:val="0"/>
                <w:sz w:val="24"/>
                <w:szCs w:val="24"/>
                <w:lang w:val="en-US" w:eastAsia="zh-CN"/>
              </w:rPr>
              <w:t>不允许</w:t>
            </w:r>
            <w:r>
              <w:rPr>
                <w:rFonts w:hint="eastAsia" w:ascii="仿宋" w:hAnsi="仿宋" w:eastAsia="仿宋" w:cs="仿宋"/>
                <w:color w:val="auto"/>
                <w:sz w:val="24"/>
                <w:szCs w:val="24"/>
                <w:lang w:val="en-US" w:eastAsia="zh-CN"/>
              </w:rPr>
              <w:t>；</w:t>
            </w:r>
          </w:p>
          <w:p w14:paraId="4E37059D">
            <w:pPr>
              <w:keepNext w:val="0"/>
              <w:keepLines w:val="0"/>
              <w:pageBreakBefore w:val="0"/>
              <w:widowControl/>
              <w:kinsoku/>
              <w:wordWrap/>
              <w:overflowPunct/>
              <w:topLinePunct w:val="0"/>
              <w:autoSpaceDE/>
              <w:autoSpaceDN/>
              <w:bidi w:val="0"/>
              <w:adjustRightInd/>
              <w:spacing w:line="500" w:lineRule="exact"/>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提示：</w:t>
            </w:r>
            <w:r>
              <w:rPr>
                <w:rFonts w:hint="eastAsia" w:ascii="仿宋" w:hAnsi="仿宋" w:eastAsia="仿宋" w:cs="仿宋"/>
                <w:color w:val="auto"/>
                <w:kern w:val="0"/>
                <w:sz w:val="24"/>
                <w:szCs w:val="24"/>
              </w:rPr>
              <w:t>中小企业根据《政府采购促进中小企业发展管办法》（财库〔2020〕46号）规定的政策获取政府采购合同后，小型、微型企业不得分包或转包给大型、中型企业，中型企业不得分包或转包给大型企业。</w:t>
            </w:r>
          </w:p>
        </w:tc>
      </w:tr>
      <w:tr w14:paraId="75850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D927172">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13.4</w:t>
            </w:r>
          </w:p>
        </w:tc>
        <w:tc>
          <w:tcPr>
            <w:tcW w:w="1907" w:type="dxa"/>
            <w:vAlign w:val="center"/>
          </w:tcPr>
          <w:p w14:paraId="5EC67DB6">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合同争议及违约</w:t>
            </w:r>
          </w:p>
        </w:tc>
        <w:tc>
          <w:tcPr>
            <w:tcW w:w="5583" w:type="dxa"/>
            <w:vAlign w:val="center"/>
          </w:tcPr>
          <w:p w14:paraId="4680188A">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bCs/>
                <w:color w:val="auto"/>
                <w:kern w:val="2"/>
                <w:sz w:val="24"/>
                <w:szCs w:val="24"/>
                <w:lang w:val="en-US" w:eastAsia="zh-CN" w:bidi="ar-SA"/>
              </w:rPr>
            </w:pPr>
            <w:r>
              <w:rPr>
                <w:rFonts w:hint="eastAsia" w:ascii="仿宋" w:hAnsi="仿宋" w:eastAsia="仿宋" w:cs="仿宋"/>
                <w:bCs/>
                <w:color w:val="auto"/>
                <w:sz w:val="24"/>
                <w:szCs w:val="24"/>
                <w:lang w:val="en-US" w:eastAsia="zh-CN"/>
              </w:rPr>
              <w:t>按本项目采购合同、《民法典》等相关规定执行。</w:t>
            </w:r>
          </w:p>
        </w:tc>
      </w:tr>
      <w:tr w14:paraId="7F8F5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3F6EDE09">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w:t>
            </w:r>
          </w:p>
        </w:tc>
        <w:tc>
          <w:tcPr>
            <w:tcW w:w="1907" w:type="dxa"/>
            <w:tcBorders>
              <w:right w:val="nil"/>
            </w:tcBorders>
            <w:vAlign w:val="center"/>
          </w:tcPr>
          <w:p w14:paraId="4E94244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highlight w:val="none"/>
                <w:lang w:eastAsia="zh-CN"/>
              </w:rPr>
              <w:t>评标</w:t>
            </w:r>
          </w:p>
        </w:tc>
        <w:tc>
          <w:tcPr>
            <w:tcW w:w="5583" w:type="dxa"/>
            <w:tcBorders>
              <w:left w:val="nil"/>
            </w:tcBorders>
            <w:vAlign w:val="center"/>
          </w:tcPr>
          <w:p w14:paraId="1B97AE1F">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p>
        </w:tc>
      </w:tr>
      <w:tr w14:paraId="5D13B4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6F819136">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14.1</w:t>
            </w:r>
          </w:p>
        </w:tc>
        <w:tc>
          <w:tcPr>
            <w:tcW w:w="1907" w:type="dxa"/>
            <w:shd w:val="clear" w:color="auto" w:fill="auto"/>
            <w:vAlign w:val="center"/>
          </w:tcPr>
          <w:p w14:paraId="60316C8D">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color w:val="auto"/>
                <w:sz w:val="24"/>
                <w:szCs w:val="24"/>
                <w:lang w:val="en-US" w:eastAsia="zh-CN"/>
              </w:rPr>
              <w:t>资格审查主体</w:t>
            </w:r>
          </w:p>
        </w:tc>
        <w:tc>
          <w:tcPr>
            <w:tcW w:w="5583" w:type="dxa"/>
            <w:shd w:val="clear" w:color="auto" w:fill="auto"/>
            <w:vAlign w:val="center"/>
          </w:tcPr>
          <w:p w14:paraId="2EF7ECF4">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textAlignment w:val="auto"/>
              <w:rPr>
                <w:rFonts w:hint="eastAsia" w:ascii="仿宋" w:hAnsi="仿宋" w:eastAsia="仿宋" w:cs="仿宋"/>
                <w:kern w:val="0"/>
                <w:sz w:val="24"/>
                <w:szCs w:val="24"/>
                <w:lang w:val="en-US" w:eastAsia="zh-CN" w:bidi="ar-SA"/>
              </w:rPr>
            </w:pPr>
            <w:r>
              <w:rPr>
                <w:rFonts w:hint="eastAsia" w:ascii="仿宋" w:hAnsi="仿宋" w:eastAsia="仿宋" w:cs="仿宋"/>
                <w:b w:val="0"/>
                <w:bCs w:val="0"/>
                <w:color w:val="auto"/>
                <w:kern w:val="0"/>
                <w:sz w:val="24"/>
                <w:szCs w:val="24"/>
                <w:highlight w:val="none"/>
                <w:lang w:val="en-US" w:eastAsia="zh-CN" w:bidi="ar-SA"/>
              </w:rPr>
              <w:t>采购人</w:t>
            </w:r>
          </w:p>
        </w:tc>
      </w:tr>
      <w:tr w14:paraId="2D3E9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1D81AC8">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14.2</w:t>
            </w:r>
          </w:p>
        </w:tc>
        <w:tc>
          <w:tcPr>
            <w:tcW w:w="1907" w:type="dxa"/>
            <w:shd w:val="clear" w:color="auto" w:fill="auto"/>
            <w:vAlign w:val="center"/>
          </w:tcPr>
          <w:p w14:paraId="383C1475">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kern w:val="2"/>
                <w:sz w:val="24"/>
                <w:szCs w:val="24"/>
                <w:lang w:val="en-US" w:eastAsia="zh-CN" w:bidi="ar-SA"/>
              </w:rPr>
            </w:pPr>
            <w:r>
              <w:rPr>
                <w:rFonts w:hint="eastAsia" w:ascii="仿宋" w:hAnsi="仿宋" w:eastAsia="仿宋" w:cs="仿宋"/>
                <w:strike w:val="0"/>
                <w:dstrike w:val="0"/>
                <w:color w:val="auto"/>
                <w:sz w:val="24"/>
                <w:szCs w:val="24"/>
                <w:highlight w:val="none"/>
                <w:lang w:val="en-US" w:eastAsia="zh-CN"/>
              </w:rPr>
              <w:t>符合性审查主体</w:t>
            </w:r>
          </w:p>
        </w:tc>
        <w:tc>
          <w:tcPr>
            <w:tcW w:w="5583" w:type="dxa"/>
            <w:shd w:val="clear" w:color="auto" w:fill="auto"/>
            <w:vAlign w:val="center"/>
          </w:tcPr>
          <w:p w14:paraId="52978F61">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kern w:val="0"/>
                <w:sz w:val="24"/>
                <w:szCs w:val="24"/>
                <w:lang w:val="en-US" w:eastAsia="zh-CN" w:bidi="ar-SA"/>
              </w:rPr>
            </w:pPr>
            <w:r>
              <w:rPr>
                <w:rFonts w:hint="eastAsia" w:ascii="仿宋" w:hAnsi="仿宋" w:eastAsia="仿宋" w:cs="仿宋"/>
                <w:b w:val="0"/>
                <w:bCs w:val="0"/>
                <w:color w:val="auto"/>
                <w:kern w:val="0"/>
                <w:sz w:val="24"/>
                <w:szCs w:val="24"/>
                <w:lang w:val="en-US" w:eastAsia="zh-CN" w:bidi="ar-SA"/>
              </w:rPr>
              <w:t>评</w:t>
            </w:r>
            <w:r>
              <w:rPr>
                <w:rFonts w:hint="eastAsia" w:ascii="仿宋" w:hAnsi="仿宋" w:eastAsia="仿宋" w:cs="仿宋"/>
                <w:sz w:val="24"/>
              </w:rPr>
              <w:t>标</w:t>
            </w:r>
            <w:r>
              <w:rPr>
                <w:rFonts w:hint="eastAsia" w:ascii="仿宋" w:hAnsi="仿宋" w:eastAsia="仿宋" w:cs="仿宋"/>
                <w:b w:val="0"/>
                <w:bCs w:val="0"/>
                <w:color w:val="auto"/>
                <w:kern w:val="0"/>
                <w:sz w:val="24"/>
                <w:szCs w:val="24"/>
                <w:lang w:val="en-US" w:eastAsia="zh-CN" w:bidi="ar-SA"/>
              </w:rPr>
              <w:t>小组</w:t>
            </w:r>
          </w:p>
        </w:tc>
      </w:tr>
      <w:tr w14:paraId="326B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5361894">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w:t>
            </w:r>
          </w:p>
        </w:tc>
        <w:tc>
          <w:tcPr>
            <w:tcW w:w="1907" w:type="dxa"/>
            <w:tcBorders>
              <w:right w:val="nil"/>
            </w:tcBorders>
            <w:shd w:val="clear" w:color="auto" w:fill="auto"/>
            <w:vAlign w:val="center"/>
          </w:tcPr>
          <w:p w14:paraId="39EE05A3">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strike w:val="0"/>
                <w:dstrike w:val="0"/>
                <w:color w:val="auto"/>
                <w:sz w:val="24"/>
                <w:szCs w:val="24"/>
                <w:highlight w:val="none"/>
                <w:lang w:val="en-US" w:eastAsia="zh-CN"/>
              </w:rPr>
            </w:pPr>
            <w:r>
              <w:rPr>
                <w:rFonts w:hint="eastAsia" w:ascii="仿宋" w:hAnsi="仿宋" w:eastAsia="仿宋" w:cs="仿宋"/>
                <w:color w:val="auto"/>
                <w:sz w:val="24"/>
                <w:szCs w:val="24"/>
                <w:lang w:val="en-US" w:eastAsia="zh-CN"/>
              </w:rPr>
              <w:t>中标人</w:t>
            </w:r>
          </w:p>
        </w:tc>
        <w:tc>
          <w:tcPr>
            <w:tcW w:w="5583" w:type="dxa"/>
            <w:tcBorders>
              <w:left w:val="nil"/>
            </w:tcBorders>
            <w:shd w:val="clear" w:color="auto" w:fill="auto"/>
            <w:vAlign w:val="center"/>
          </w:tcPr>
          <w:p w14:paraId="2C255A1A">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beforeAutospacing="0" w:afterAutospacing="0" w:line="500" w:lineRule="exact"/>
              <w:ind w:left="0" w:leftChars="0" w:firstLine="0" w:firstLineChars="0"/>
              <w:jc w:val="left"/>
              <w:textAlignment w:val="auto"/>
              <w:rPr>
                <w:rFonts w:hint="eastAsia" w:ascii="仿宋" w:hAnsi="仿宋" w:eastAsia="仿宋" w:cs="仿宋"/>
                <w:b w:val="0"/>
                <w:bCs w:val="0"/>
                <w:color w:val="auto"/>
                <w:kern w:val="0"/>
                <w:sz w:val="24"/>
                <w:szCs w:val="24"/>
                <w:lang w:val="en-US" w:eastAsia="zh-CN" w:bidi="ar-SA"/>
              </w:rPr>
            </w:pPr>
          </w:p>
        </w:tc>
      </w:tr>
      <w:tr w14:paraId="6D300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F56EAA5">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15.1</w:t>
            </w:r>
          </w:p>
        </w:tc>
        <w:tc>
          <w:tcPr>
            <w:tcW w:w="1907" w:type="dxa"/>
            <w:shd w:val="clear" w:color="auto" w:fill="auto"/>
            <w:vAlign w:val="center"/>
          </w:tcPr>
          <w:p w14:paraId="2AEB7AFE">
            <w:pPr>
              <w:keepNext w:val="0"/>
              <w:keepLines w:val="0"/>
              <w:pageBreakBefore w:val="0"/>
              <w:kinsoku/>
              <w:wordWrap/>
              <w:overflowPunct/>
              <w:topLinePunct w:val="0"/>
              <w:autoSpaceDE/>
              <w:autoSpaceDN/>
              <w:bidi w:val="0"/>
              <w:adjustRightInd/>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确定中标人</w:t>
            </w:r>
          </w:p>
        </w:tc>
        <w:tc>
          <w:tcPr>
            <w:tcW w:w="5583" w:type="dxa"/>
            <w:shd w:val="clear" w:color="auto" w:fill="auto"/>
            <w:vAlign w:val="center"/>
          </w:tcPr>
          <w:p w14:paraId="66C9AA44">
            <w:pPr>
              <w:keepNext w:val="0"/>
              <w:keepLines w:val="0"/>
              <w:pageBreakBefore w:val="0"/>
              <w:numPr>
                <w:ilvl w:val="0"/>
                <w:numId w:val="0"/>
              </w:numPr>
              <w:tabs>
                <w:tab w:val="left" w:pos="0"/>
              </w:tabs>
              <w:kinsoku/>
              <w:wordWrap/>
              <w:overflowPunct/>
              <w:topLinePunct w:val="0"/>
              <w:autoSpaceDE/>
              <w:autoSpaceDN/>
              <w:bidi w:val="0"/>
              <w:adjustRightInd/>
              <w:spacing w:line="500" w:lineRule="exact"/>
              <w:ind w:left="0" w:leftChars="0" w:firstLine="0" w:firstLineChars="0"/>
              <w:textAlignment w:val="auto"/>
              <w:rPr>
                <w:rFonts w:hint="eastAsia" w:ascii="仿宋" w:hAnsi="仿宋" w:eastAsia="仿宋" w:cs="仿宋"/>
                <w:bCs/>
                <w:color w:val="auto"/>
                <w:kern w:val="2"/>
                <w:sz w:val="24"/>
                <w:szCs w:val="24"/>
                <w:lang w:val="en-US" w:eastAsia="zh-CN" w:bidi="ar-SA"/>
              </w:rPr>
            </w:pPr>
            <w:r>
              <w:rPr>
                <w:rFonts w:hint="eastAsia" w:ascii="仿宋" w:hAnsi="仿宋" w:eastAsia="仿宋" w:cs="仿宋"/>
                <w:color w:val="auto"/>
                <w:kern w:val="0"/>
                <w:sz w:val="24"/>
                <w:szCs w:val="24"/>
                <w:lang w:val="en-US" w:eastAsia="zh-CN" w:bidi="ar-SA"/>
              </w:rPr>
              <w:t>采购人</w:t>
            </w:r>
          </w:p>
        </w:tc>
      </w:tr>
      <w:tr w14:paraId="2DA72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7C552007">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w:t>
            </w:r>
          </w:p>
        </w:tc>
        <w:tc>
          <w:tcPr>
            <w:tcW w:w="1907" w:type="dxa"/>
            <w:shd w:val="clear" w:color="auto" w:fill="auto"/>
            <w:vAlign w:val="center"/>
          </w:tcPr>
          <w:p w14:paraId="47055E3E">
            <w:pPr>
              <w:keepNext w:val="0"/>
              <w:keepLines w:val="0"/>
              <w:pageBreakBefore w:val="0"/>
              <w:kinsoku/>
              <w:overflowPunct/>
              <w:topLinePunct w:val="0"/>
              <w:bidi w:val="0"/>
              <w:adjustRightInd/>
              <w:snapToGrid w:val="0"/>
              <w:spacing w:line="500" w:lineRule="exact"/>
              <w:jc w:val="center"/>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中标人变更</w:t>
            </w:r>
          </w:p>
        </w:tc>
        <w:tc>
          <w:tcPr>
            <w:tcW w:w="5583" w:type="dxa"/>
            <w:shd w:val="clear" w:color="auto" w:fill="auto"/>
            <w:vAlign w:val="center"/>
          </w:tcPr>
          <w:p w14:paraId="5455C5EF">
            <w:pPr>
              <w:keepNext w:val="0"/>
              <w:keepLines w:val="0"/>
              <w:pageBreakBefore w:val="0"/>
              <w:kinsoku/>
              <w:wordWrap/>
              <w:overflowPunct/>
              <w:topLinePunct w:val="0"/>
              <w:bidi w:val="0"/>
              <w:adjustRightInd/>
              <w:snapToGrid w:val="0"/>
              <w:spacing w:line="500" w:lineRule="exact"/>
              <w:jc w:val="left"/>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根据采购法实施条例第49条和财库便函【2019】154号文，中标人拒绝与采购人签订合同（或弃标），采购人可根据采购项目的实际情况，综合考虑递补供应商的经济性和效率等因素，自主确定是否重新开展采购活动或确定下一候选人为中标或者成交供应商。</w:t>
            </w:r>
          </w:p>
          <w:p w14:paraId="2ACFF8E9">
            <w:pPr>
              <w:keepNext w:val="0"/>
              <w:keepLines w:val="0"/>
              <w:pageBreakBefore w:val="0"/>
              <w:kinsoku/>
              <w:wordWrap/>
              <w:overflowPunct/>
              <w:topLinePunct w:val="0"/>
              <w:bidi w:val="0"/>
              <w:adjustRightInd/>
              <w:snapToGrid w:val="0"/>
              <w:spacing w:line="500" w:lineRule="exact"/>
              <w:jc w:val="left"/>
              <w:textAlignment w:val="baseline"/>
              <w:rPr>
                <w:rFonts w:hint="default" w:ascii="仿宋" w:hAnsi="仿宋" w:eastAsia="仿宋" w:cs="仿宋"/>
                <w:color w:val="auto"/>
                <w:sz w:val="24"/>
                <w:szCs w:val="24"/>
                <w:highlight w:val="none"/>
                <w:lang w:val="en-US" w:eastAsia="zh-CN"/>
              </w:rPr>
            </w:pPr>
            <w:r>
              <w:rPr>
                <w:rFonts w:hint="default" w:ascii="仿宋" w:hAnsi="仿宋" w:eastAsia="仿宋" w:cs="仿宋"/>
                <w:color w:val="auto"/>
                <w:sz w:val="24"/>
                <w:szCs w:val="24"/>
                <w:highlight w:val="none"/>
                <w:lang w:val="en-US" w:eastAsia="zh-CN"/>
              </w:rPr>
              <w:t>2.出现变更中标人的其他情形时，按照政府采购法及相关法律法规进行。</w:t>
            </w:r>
          </w:p>
          <w:p w14:paraId="6B24726C">
            <w:pPr>
              <w:keepNext w:val="0"/>
              <w:keepLines w:val="0"/>
              <w:pageBreakBefore w:val="0"/>
              <w:kinsoku/>
              <w:wordWrap/>
              <w:overflowPunct/>
              <w:topLinePunct w:val="0"/>
              <w:bidi w:val="0"/>
              <w:adjustRightInd/>
              <w:snapToGrid w:val="0"/>
              <w:spacing w:line="500" w:lineRule="exact"/>
              <w:jc w:val="left"/>
              <w:textAlignment w:val="baseline"/>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0"/>
                <w:sz w:val="24"/>
                <w:lang w:val="en-US" w:eastAsia="zh-CN"/>
              </w:rPr>
              <w:t>3.合同签订前，若</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人经营状况发生变化，</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人须及时向采购人说明情况，采购人认为</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人不具备履约能力，可取消其</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kern w:val="0"/>
                <w:sz w:val="24"/>
                <w:lang w:val="en-US" w:eastAsia="zh-CN"/>
              </w:rPr>
              <w:t>资格</w:t>
            </w:r>
            <w:r>
              <w:rPr>
                <w:rFonts w:hint="eastAsia" w:ascii="仿宋" w:hAnsi="仿宋" w:eastAsia="仿宋" w:cs="仿宋"/>
                <w:bCs/>
                <w:color w:val="auto"/>
                <w:sz w:val="24"/>
                <w:szCs w:val="24"/>
              </w:rPr>
              <w:t>。</w:t>
            </w:r>
          </w:p>
        </w:tc>
      </w:tr>
      <w:tr w14:paraId="0BAE7A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54C750F">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w:t>
            </w:r>
          </w:p>
        </w:tc>
        <w:tc>
          <w:tcPr>
            <w:tcW w:w="1907" w:type="dxa"/>
            <w:vAlign w:val="center"/>
          </w:tcPr>
          <w:p w14:paraId="16F8C80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rPr>
            </w:pPr>
            <w:r>
              <w:rPr>
                <w:rFonts w:hint="eastAsia" w:ascii="仿宋" w:hAnsi="仿宋" w:eastAsia="仿宋" w:cs="仿宋"/>
                <w:b w:val="0"/>
                <w:bCs/>
                <w:color w:val="auto"/>
                <w:sz w:val="24"/>
                <w:szCs w:val="24"/>
              </w:rPr>
              <w:t>重新采购</w:t>
            </w:r>
          </w:p>
        </w:tc>
        <w:tc>
          <w:tcPr>
            <w:tcW w:w="5583" w:type="dxa"/>
            <w:vAlign w:val="center"/>
          </w:tcPr>
          <w:p w14:paraId="62B09C7A">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（1）出现影响采购公正的违法、违规行为的；</w:t>
            </w:r>
          </w:p>
          <w:p w14:paraId="68402D31">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（2）实质响应的供应商不足三家的；（经审批可采取其他采购方式的除外）</w:t>
            </w:r>
          </w:p>
          <w:p w14:paraId="5F85925A">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（3）所有供应商的报价均超出</w:t>
            </w:r>
            <w:r>
              <w:rPr>
                <w:rFonts w:hint="eastAsia" w:ascii="仿宋" w:hAnsi="仿宋" w:eastAsia="仿宋" w:cs="仿宋"/>
                <w:bCs/>
                <w:color w:val="auto"/>
                <w:sz w:val="24"/>
                <w:szCs w:val="24"/>
                <w:lang w:val="en-US" w:eastAsia="zh-CN"/>
              </w:rPr>
              <w:t>项目</w:t>
            </w:r>
            <w:r>
              <w:rPr>
                <w:rFonts w:hint="eastAsia" w:ascii="仿宋" w:hAnsi="仿宋" w:eastAsia="仿宋" w:cs="仿宋"/>
                <w:color w:val="auto"/>
                <w:sz w:val="24"/>
                <w:szCs w:val="24"/>
                <w:lang w:val="en-US" w:eastAsia="zh-CN"/>
              </w:rPr>
              <w:t>预算金额或最高限价，采购人不能支付的；</w:t>
            </w:r>
          </w:p>
          <w:p w14:paraId="761854DD">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（4）项目发生重大变更；</w:t>
            </w:r>
          </w:p>
          <w:p w14:paraId="22E1DBC0">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（5）法律法规和招标文件规定的其他情形。</w:t>
            </w:r>
          </w:p>
        </w:tc>
      </w:tr>
      <w:tr w14:paraId="1FA4D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915E0FB">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17</w:t>
            </w:r>
          </w:p>
        </w:tc>
        <w:tc>
          <w:tcPr>
            <w:tcW w:w="1907" w:type="dxa"/>
            <w:vAlign w:val="center"/>
          </w:tcPr>
          <w:p w14:paraId="12031FA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b w:val="0"/>
                <w:bCs w:val="0"/>
                <w:color w:val="auto"/>
                <w:kern w:val="0"/>
                <w:sz w:val="24"/>
                <w:szCs w:val="24"/>
                <w:highlight w:val="yellow"/>
                <w:lang w:val="en-US" w:eastAsia="zh-CN" w:bidi="ar-SA"/>
              </w:rPr>
            </w:pPr>
            <w:r>
              <w:rPr>
                <w:rFonts w:hint="eastAsia" w:ascii="仿宋" w:hAnsi="仿宋" w:eastAsia="仿宋" w:cs="仿宋"/>
                <w:color w:val="auto"/>
                <w:sz w:val="24"/>
                <w:szCs w:val="24"/>
              </w:rPr>
              <w:t>无效标</w:t>
            </w:r>
          </w:p>
        </w:tc>
        <w:tc>
          <w:tcPr>
            <w:tcW w:w="5583" w:type="dxa"/>
            <w:vAlign w:val="center"/>
          </w:tcPr>
          <w:p w14:paraId="677B78C5">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投标文件出现下列情形之一为无效投标：</w:t>
            </w:r>
          </w:p>
          <w:p w14:paraId="713772DA">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1.未通过资格审查。</w:t>
            </w:r>
          </w:p>
          <w:p w14:paraId="2E8BDDEE">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2.未通过</w:t>
            </w:r>
            <w:r>
              <w:rPr>
                <w:rFonts w:hint="eastAsia" w:ascii="仿宋" w:hAnsi="仿宋" w:eastAsia="仿宋" w:cs="仿宋"/>
                <w:strike w:val="0"/>
                <w:dstrike w:val="0"/>
                <w:color w:val="auto"/>
                <w:sz w:val="24"/>
                <w:szCs w:val="24"/>
                <w:lang w:val="en-US" w:eastAsia="zh-CN"/>
              </w:rPr>
              <w:t>符合性</w:t>
            </w:r>
            <w:r>
              <w:rPr>
                <w:rFonts w:hint="eastAsia" w:ascii="仿宋" w:hAnsi="仿宋" w:eastAsia="仿宋" w:cs="仿宋"/>
                <w:color w:val="auto"/>
                <w:sz w:val="24"/>
                <w:szCs w:val="24"/>
                <w:lang w:val="en-US" w:eastAsia="zh-CN"/>
              </w:rPr>
              <w:t>审查</w:t>
            </w:r>
            <w:r>
              <w:rPr>
                <w:rFonts w:hint="eastAsia" w:ascii="仿宋" w:hAnsi="仿宋" w:eastAsia="仿宋" w:cs="仿宋"/>
                <w:color w:val="auto"/>
                <w:sz w:val="24"/>
                <w:szCs w:val="24"/>
              </w:rPr>
              <w:t>。</w:t>
            </w:r>
          </w:p>
          <w:p w14:paraId="3CDD3D80">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有弄</w:t>
            </w:r>
            <w:r>
              <w:rPr>
                <w:rFonts w:hint="eastAsia" w:ascii="仿宋" w:hAnsi="仿宋" w:eastAsia="仿宋" w:cs="仿宋"/>
                <w:color w:val="auto"/>
                <w:sz w:val="24"/>
                <w:szCs w:val="24"/>
              </w:rPr>
              <w:t>虚</w:t>
            </w:r>
            <w:r>
              <w:rPr>
                <w:rFonts w:hint="eastAsia" w:ascii="仿宋" w:hAnsi="仿宋" w:eastAsia="仿宋" w:cs="仿宋"/>
                <w:color w:val="auto"/>
                <w:sz w:val="24"/>
                <w:szCs w:val="24"/>
                <w:lang w:val="en-US" w:eastAsia="zh-CN"/>
              </w:rPr>
              <w:t>作</w:t>
            </w:r>
            <w:r>
              <w:rPr>
                <w:rFonts w:hint="eastAsia" w:ascii="仿宋" w:hAnsi="仿宋" w:eastAsia="仿宋" w:cs="仿宋"/>
                <w:color w:val="auto"/>
                <w:sz w:val="24"/>
                <w:szCs w:val="24"/>
              </w:rPr>
              <w:t>假</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串标围标等违法违规行为的</w:t>
            </w:r>
            <w:r>
              <w:rPr>
                <w:rFonts w:hint="eastAsia" w:ascii="仿宋" w:hAnsi="仿宋" w:eastAsia="仿宋" w:cs="仿宋"/>
                <w:color w:val="auto"/>
                <w:sz w:val="24"/>
                <w:szCs w:val="24"/>
              </w:rPr>
              <w:t>。</w:t>
            </w:r>
          </w:p>
          <w:p w14:paraId="1F60C174">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未在有效时间内获取招标资料。</w:t>
            </w:r>
          </w:p>
          <w:p w14:paraId="70EAE103">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5.未从合法正规渠道获取招标资料。</w:t>
            </w:r>
          </w:p>
          <w:p w14:paraId="6717C29F">
            <w:pPr>
              <w:keepNext w:val="0"/>
              <w:keepLines w:val="0"/>
              <w:pageBreakBefore w:val="0"/>
              <w:kinsoku/>
              <w:wordWrap/>
              <w:overflowPunct/>
              <w:topLinePunct w:val="0"/>
              <w:autoSpaceDE/>
              <w:autoSpaceDN/>
              <w:bidi w:val="0"/>
              <w:adjustRightInd/>
              <w:spacing w:beforeAutospacing="0" w:afterAutospacing="0" w:line="500" w:lineRule="exact"/>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6.投标</w:t>
            </w:r>
            <w:r>
              <w:rPr>
                <w:rFonts w:hint="eastAsia" w:ascii="仿宋" w:hAnsi="仿宋" w:eastAsia="仿宋" w:cs="仿宋"/>
                <w:color w:val="auto"/>
                <w:sz w:val="24"/>
                <w:szCs w:val="24"/>
              </w:rPr>
              <w:t>附有采购人</w:t>
            </w:r>
            <w:r>
              <w:rPr>
                <w:rFonts w:hint="eastAsia" w:ascii="仿宋" w:hAnsi="仿宋" w:eastAsia="仿宋" w:cs="仿宋"/>
                <w:color w:val="auto"/>
                <w:sz w:val="24"/>
                <w:szCs w:val="24"/>
                <w:lang w:val="en-US" w:eastAsia="zh-CN"/>
              </w:rPr>
              <w:t>不能接受的条件。</w:t>
            </w:r>
          </w:p>
          <w:p w14:paraId="0003F518">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7.招标文件及法律法规规定的其他无效情形。</w:t>
            </w:r>
          </w:p>
        </w:tc>
      </w:tr>
      <w:tr w14:paraId="25F2F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48482093">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w:t>
            </w:r>
          </w:p>
        </w:tc>
        <w:tc>
          <w:tcPr>
            <w:tcW w:w="1907" w:type="dxa"/>
            <w:tcBorders>
              <w:right w:val="nil"/>
            </w:tcBorders>
            <w:shd w:val="clear" w:color="auto" w:fill="auto"/>
            <w:vAlign w:val="center"/>
          </w:tcPr>
          <w:p w14:paraId="0AA78798">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履约验收</w:t>
            </w:r>
          </w:p>
        </w:tc>
        <w:tc>
          <w:tcPr>
            <w:tcW w:w="5583" w:type="dxa"/>
            <w:tcBorders>
              <w:left w:val="nil"/>
            </w:tcBorders>
            <w:vAlign w:val="center"/>
          </w:tcPr>
          <w:p w14:paraId="705A06D5">
            <w:pPr>
              <w:keepNext w:val="0"/>
              <w:keepLines w:val="0"/>
              <w:pageBreakBefore w:val="0"/>
              <w:kinsoku/>
              <w:wordWrap/>
              <w:overflowPunct/>
              <w:topLinePunct w:val="0"/>
              <w:autoSpaceDE/>
              <w:autoSpaceDN/>
              <w:bidi w:val="0"/>
              <w:adjustRightInd/>
              <w:spacing w:beforeAutospacing="0" w:afterAutospacing="0" w:line="500" w:lineRule="exact"/>
              <w:rPr>
                <w:rFonts w:hint="eastAsia" w:ascii="仿宋" w:hAnsi="仿宋" w:eastAsia="仿宋" w:cs="仿宋"/>
                <w:color w:val="auto"/>
                <w:sz w:val="24"/>
                <w:szCs w:val="24"/>
                <w:lang w:val="en-US" w:eastAsia="zh-CN"/>
              </w:rPr>
            </w:pPr>
          </w:p>
        </w:tc>
      </w:tr>
      <w:tr w14:paraId="246CF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683EC878">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18.1</w:t>
            </w:r>
          </w:p>
        </w:tc>
        <w:tc>
          <w:tcPr>
            <w:tcW w:w="1907" w:type="dxa"/>
            <w:shd w:val="clear" w:color="auto" w:fill="auto"/>
            <w:vAlign w:val="center"/>
          </w:tcPr>
          <w:p w14:paraId="76A2358C">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履约争议或违约</w:t>
            </w:r>
          </w:p>
        </w:tc>
        <w:tc>
          <w:tcPr>
            <w:tcW w:w="5583" w:type="dxa"/>
            <w:shd w:val="clear" w:color="auto" w:fill="auto"/>
            <w:vAlign w:val="center"/>
          </w:tcPr>
          <w:p w14:paraId="6E752774">
            <w:pPr>
              <w:keepNext w:val="0"/>
              <w:keepLines w:val="0"/>
              <w:pageBreakBefore w:val="0"/>
              <w:numPr>
                <w:ilvl w:val="0"/>
                <w:numId w:val="0"/>
              </w:numPr>
              <w:kinsoku/>
              <w:wordWrap/>
              <w:overflowPunct/>
              <w:topLinePunct w:val="0"/>
              <w:autoSpaceDE/>
              <w:autoSpaceDN/>
              <w:bidi w:val="0"/>
              <w:adjustRightInd/>
              <w:spacing w:beforeAutospacing="0" w:afterAutospacing="0" w:line="500" w:lineRule="exact"/>
              <w:ind w:left="0" w:leftChars="0" w:firstLine="0" w:firstLineChars="0"/>
              <w:rPr>
                <w:rFonts w:hint="eastAsia" w:ascii="仿宋" w:hAnsi="仿宋" w:eastAsia="仿宋" w:cs="仿宋"/>
                <w:color w:val="auto"/>
                <w:kern w:val="2"/>
                <w:sz w:val="24"/>
                <w:szCs w:val="24"/>
                <w:lang w:val="en-US" w:eastAsia="zh-CN" w:bidi="ar-SA"/>
              </w:rPr>
            </w:pPr>
            <w:r>
              <w:rPr>
                <w:rFonts w:hint="eastAsia" w:ascii="仿宋" w:hAnsi="仿宋" w:eastAsia="仿宋" w:cs="仿宋"/>
                <w:bCs/>
                <w:color w:val="auto"/>
                <w:sz w:val="24"/>
                <w:szCs w:val="24"/>
                <w:lang w:val="en-US" w:eastAsia="zh-CN"/>
              </w:rPr>
              <w:t>供应商在合同履行过程中出现的争议及违约，按合同约定及民法典的规定追究违约方责任。有政府</w:t>
            </w:r>
            <w:r>
              <w:rPr>
                <w:rFonts w:hint="default" w:ascii="仿宋" w:hAnsi="仿宋" w:eastAsia="仿宋" w:cs="仿宋"/>
                <w:bCs/>
                <w:color w:val="auto"/>
                <w:sz w:val="24"/>
                <w:szCs w:val="24"/>
                <w:lang w:val="en-US" w:eastAsia="zh-CN"/>
              </w:rPr>
              <w:t>采购</w:t>
            </w:r>
            <w:r>
              <w:rPr>
                <w:rFonts w:hint="eastAsia" w:ascii="仿宋" w:hAnsi="仿宋" w:eastAsia="仿宋" w:cs="仿宋"/>
                <w:bCs/>
                <w:color w:val="auto"/>
                <w:sz w:val="24"/>
                <w:szCs w:val="24"/>
                <w:lang w:val="en-US" w:eastAsia="zh-CN"/>
              </w:rPr>
              <w:t>法律法规规定的违法违规情形的，采购人</w:t>
            </w:r>
            <w:r>
              <w:rPr>
                <w:rFonts w:hint="default" w:ascii="仿宋" w:hAnsi="仿宋" w:eastAsia="仿宋" w:cs="仿宋"/>
                <w:bCs/>
                <w:color w:val="auto"/>
                <w:sz w:val="24"/>
                <w:szCs w:val="24"/>
                <w:lang w:val="en-US" w:eastAsia="zh-CN"/>
              </w:rPr>
              <w:t>应当及时</w:t>
            </w:r>
            <w:r>
              <w:rPr>
                <w:rFonts w:hint="eastAsia" w:ascii="仿宋" w:hAnsi="仿宋" w:eastAsia="仿宋" w:cs="仿宋"/>
                <w:bCs/>
                <w:color w:val="auto"/>
                <w:sz w:val="24"/>
                <w:szCs w:val="24"/>
                <w:lang w:val="en-US" w:eastAsia="zh-CN"/>
              </w:rPr>
              <w:t>报告财政管理部门。</w:t>
            </w:r>
          </w:p>
        </w:tc>
      </w:tr>
      <w:tr w14:paraId="01428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409C09A6">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18.2</w:t>
            </w:r>
          </w:p>
        </w:tc>
        <w:tc>
          <w:tcPr>
            <w:tcW w:w="1907" w:type="dxa"/>
            <w:shd w:val="clear" w:color="auto" w:fill="auto"/>
            <w:vAlign w:val="center"/>
          </w:tcPr>
          <w:p w14:paraId="41DF6CD7">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履约验收主体</w:t>
            </w:r>
          </w:p>
        </w:tc>
        <w:tc>
          <w:tcPr>
            <w:tcW w:w="5583" w:type="dxa"/>
            <w:shd w:val="clear" w:color="auto" w:fill="auto"/>
            <w:vAlign w:val="center"/>
          </w:tcPr>
          <w:p w14:paraId="1131EB15">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lang w:val="en-US" w:eastAsia="zh-CN" w:bidi="ar-SA"/>
              </w:rPr>
            </w:pPr>
            <w:r>
              <w:rPr>
                <w:rFonts w:hint="default" w:ascii="仿宋" w:hAnsi="仿宋" w:eastAsia="仿宋" w:cs="仿宋"/>
                <w:bCs/>
                <w:color w:val="auto"/>
                <w:sz w:val="24"/>
                <w:szCs w:val="24"/>
                <w:lang w:val="en-US" w:eastAsia="zh-CN"/>
              </w:rPr>
              <w:t>采购人</w:t>
            </w:r>
            <w:r>
              <w:rPr>
                <w:rFonts w:hint="eastAsia" w:ascii="仿宋" w:hAnsi="仿宋" w:eastAsia="仿宋" w:cs="仿宋"/>
                <w:bCs/>
                <w:color w:val="auto"/>
                <w:sz w:val="24"/>
                <w:szCs w:val="24"/>
                <w:lang w:val="en-US" w:eastAsia="zh-CN"/>
              </w:rPr>
              <w:t>。</w:t>
            </w:r>
          </w:p>
        </w:tc>
      </w:tr>
      <w:tr w14:paraId="5B337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6E9BB50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18.3</w:t>
            </w:r>
          </w:p>
        </w:tc>
        <w:tc>
          <w:tcPr>
            <w:tcW w:w="1907" w:type="dxa"/>
            <w:shd w:val="clear" w:color="auto" w:fill="auto"/>
            <w:vAlign w:val="center"/>
          </w:tcPr>
          <w:p w14:paraId="6A4EA1F7">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履约验收依据</w:t>
            </w:r>
          </w:p>
        </w:tc>
        <w:tc>
          <w:tcPr>
            <w:tcW w:w="5583" w:type="dxa"/>
            <w:shd w:val="clear" w:color="auto" w:fill="auto"/>
            <w:vAlign w:val="center"/>
          </w:tcPr>
          <w:p w14:paraId="3CEE5B2E">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kern w:val="2"/>
                <w:sz w:val="24"/>
                <w:szCs w:val="24"/>
                <w:highlight w:val="yellow"/>
                <w:lang w:val="en-US" w:eastAsia="zh-CN" w:bidi="ar-SA"/>
              </w:rPr>
            </w:pPr>
            <w:r>
              <w:rPr>
                <w:rFonts w:hint="eastAsia" w:ascii="仿宋" w:hAnsi="仿宋" w:eastAsia="仿宋" w:cs="仿宋"/>
                <w:color w:val="auto"/>
                <w:sz w:val="24"/>
                <w:szCs w:val="24"/>
                <w:highlight w:val="none"/>
                <w:lang w:val="en-US" w:eastAsia="zh-CN"/>
              </w:rPr>
              <w:t>履约验收主体应当按照采购合同规定的标的、技术、标准、服务内容、质量和安全等要求，组织对供应商履约情况进行验收，并做详细记录。</w:t>
            </w:r>
          </w:p>
        </w:tc>
      </w:tr>
      <w:tr w14:paraId="10A72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345095EA">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18.4</w:t>
            </w:r>
          </w:p>
        </w:tc>
        <w:tc>
          <w:tcPr>
            <w:tcW w:w="1907" w:type="dxa"/>
            <w:shd w:val="clear" w:color="auto" w:fill="auto"/>
            <w:vAlign w:val="center"/>
          </w:tcPr>
          <w:p w14:paraId="6AAD383A">
            <w:pPr>
              <w:pStyle w:val="4"/>
              <w:keepNext w:val="0"/>
              <w:keepLines w:val="0"/>
              <w:pageBreakBefore w:val="0"/>
              <w:kinsoku/>
              <w:wordWrap/>
              <w:overflowPunct/>
              <w:topLinePunct w:val="0"/>
              <w:autoSpaceDE/>
              <w:autoSpaceDN/>
              <w:bidi w:val="0"/>
              <w:adjustRightInd/>
              <w:spacing w:before="0" w:beforeAutospacing="0" w:afterAutospacing="0" w:line="500" w:lineRule="exact"/>
              <w:ind w:left="0" w:leftChars="0"/>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0"/>
                <w:highlight w:val="none"/>
                <w:lang w:val="en-US" w:eastAsia="zh-CN"/>
              </w:rPr>
              <w:t>履约验收标准</w:t>
            </w:r>
          </w:p>
        </w:tc>
        <w:tc>
          <w:tcPr>
            <w:tcW w:w="5583" w:type="dxa"/>
            <w:shd w:val="clear" w:color="auto" w:fill="auto"/>
            <w:vAlign w:val="center"/>
          </w:tcPr>
          <w:p w14:paraId="67404EA4">
            <w:pPr>
              <w:keepNext w:val="0"/>
              <w:keepLines w:val="0"/>
              <w:pageBreakBefore w:val="0"/>
              <w:numPr>
                <w:ilvl w:val="0"/>
                <w:numId w:val="0"/>
              </w:numPr>
              <w:kinsoku/>
              <w:wordWrap/>
              <w:overflowPunct/>
              <w:topLinePunct w:val="0"/>
              <w:autoSpaceDE/>
              <w:autoSpaceDN/>
              <w:bidi w:val="0"/>
              <w:adjustRightInd/>
              <w:spacing w:line="500" w:lineRule="exact"/>
              <w:ind w:left="0" w:leftChars="0" w:firstLine="0" w:firstLineChars="0"/>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达到国家、行业相关标准规范，满足采购要求。</w:t>
            </w:r>
          </w:p>
        </w:tc>
      </w:tr>
      <w:tr w14:paraId="1955B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EB27BA2">
            <w:pPr>
              <w:keepNext w:val="0"/>
              <w:keepLines w:val="0"/>
              <w:pageBreakBefore w:val="0"/>
              <w:kinsoku/>
              <w:wordWrap/>
              <w:overflowPunct/>
              <w:topLinePunct w:val="0"/>
              <w:autoSpaceDE/>
              <w:autoSpaceDN/>
              <w:bidi w:val="0"/>
              <w:adjustRightInd/>
              <w:spacing w:line="500" w:lineRule="exact"/>
              <w:jc w:val="center"/>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p>
        </w:tc>
        <w:tc>
          <w:tcPr>
            <w:tcW w:w="1907" w:type="dxa"/>
            <w:tcBorders>
              <w:right w:val="nil"/>
            </w:tcBorders>
            <w:vAlign w:val="center"/>
          </w:tcPr>
          <w:p w14:paraId="77C304E2">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补充事项</w:t>
            </w:r>
          </w:p>
        </w:tc>
        <w:tc>
          <w:tcPr>
            <w:tcW w:w="5583" w:type="dxa"/>
            <w:tcBorders>
              <w:left w:val="nil"/>
            </w:tcBorders>
            <w:vAlign w:val="center"/>
          </w:tcPr>
          <w:p w14:paraId="4A54265F">
            <w:pPr>
              <w:keepNext w:val="0"/>
              <w:keepLines w:val="0"/>
              <w:pageBreakBefore w:val="0"/>
              <w:numPr>
                <w:ilvl w:val="0"/>
                <w:numId w:val="0"/>
              </w:numPr>
              <w:shd w:val="clear"/>
              <w:kinsoku/>
              <w:wordWrap/>
              <w:overflowPunct/>
              <w:topLinePunct w:val="0"/>
              <w:autoSpaceDE/>
              <w:autoSpaceDN/>
              <w:bidi w:val="0"/>
              <w:adjustRightInd/>
              <w:spacing w:line="500" w:lineRule="exact"/>
              <w:ind w:left="0" w:leftChars="0" w:firstLine="0" w:firstLineChars="0"/>
              <w:rPr>
                <w:rFonts w:hint="eastAsia" w:ascii="仿宋" w:hAnsi="仿宋" w:eastAsia="仿宋" w:cs="仿宋"/>
                <w:color w:val="auto"/>
                <w:sz w:val="24"/>
                <w:szCs w:val="24"/>
                <w:highlight w:val="yellow"/>
                <w:lang w:val="en-US" w:eastAsia="zh-CN"/>
              </w:rPr>
            </w:pPr>
          </w:p>
        </w:tc>
      </w:tr>
      <w:tr w14:paraId="50D19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4D6F02F3">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highlight w:val="none"/>
                <w:lang w:val="en-US" w:eastAsia="zh-CN"/>
              </w:rPr>
              <w:t>.1</w:t>
            </w:r>
          </w:p>
        </w:tc>
        <w:tc>
          <w:tcPr>
            <w:tcW w:w="1907" w:type="dxa"/>
            <w:vAlign w:val="center"/>
          </w:tcPr>
          <w:p w14:paraId="61BCFE54">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招标文件解释权</w:t>
            </w:r>
          </w:p>
        </w:tc>
        <w:tc>
          <w:tcPr>
            <w:tcW w:w="5583" w:type="dxa"/>
            <w:vAlign w:val="center"/>
          </w:tcPr>
          <w:p w14:paraId="084672E9">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文件的解释权归采购人及代理机构所有：1）对于当事各方对</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文件发生理解偏差或歧义时，以</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highlight w:val="none"/>
                <w:lang w:val="en-US" w:eastAsia="zh-CN"/>
              </w:rPr>
              <w:t>文件的编制者即代理机构的释义为基本依据。2）供应商对</w:t>
            </w:r>
            <w:r>
              <w:rPr>
                <w:rFonts w:hint="eastAsia" w:ascii="仿宋" w:hAnsi="仿宋" w:eastAsia="仿宋" w:cs="仿宋"/>
                <w:color w:val="auto"/>
                <w:sz w:val="24"/>
                <w:szCs w:val="24"/>
                <w:lang w:val="en-US" w:eastAsia="zh-CN"/>
              </w:rPr>
              <w:t>招标文件的自主理解、推测、主观认为、随意臆造等造成的不利后果自负。</w:t>
            </w:r>
          </w:p>
        </w:tc>
      </w:tr>
      <w:tr w14:paraId="07253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9B14DEF">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19.2</w:t>
            </w:r>
          </w:p>
        </w:tc>
        <w:tc>
          <w:tcPr>
            <w:tcW w:w="1907" w:type="dxa"/>
            <w:shd w:val="clear" w:color="auto" w:fill="auto"/>
            <w:vAlign w:val="center"/>
          </w:tcPr>
          <w:p w14:paraId="49C0089C">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符号含义</w:t>
            </w:r>
          </w:p>
        </w:tc>
        <w:tc>
          <w:tcPr>
            <w:tcW w:w="5583" w:type="dxa"/>
            <w:shd w:val="clear" w:color="auto" w:fill="auto"/>
            <w:vAlign w:val="center"/>
          </w:tcPr>
          <w:p w14:paraId="278EBC91">
            <w:pPr>
              <w:keepNext w:val="0"/>
              <w:keepLines w:val="0"/>
              <w:pageBreakBefore w:val="0"/>
              <w:numPr>
                <w:ilvl w:val="0"/>
                <w:numId w:val="0"/>
              </w:numPr>
              <w:kinsoku/>
              <w:wordWrap/>
              <w:overflowPunct/>
              <w:topLinePunct w:val="0"/>
              <w:autoSpaceDE/>
              <w:autoSpaceDN/>
              <w:bidi w:val="0"/>
              <w:adjustRightInd/>
              <w:snapToGrid w:val="0"/>
              <w:spacing w:line="500" w:lineRule="exact"/>
              <w:ind w:left="0" w:leftChars="0" w:firstLine="0" w:firstLineChars="0"/>
              <w:textAlignment w:val="baseline"/>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“★”为实质性条款；“</w:t>
            </w:r>
            <w:r>
              <w:rPr>
                <w:rFonts w:hint="eastAsia" w:ascii="仿宋" w:hAnsi="仿宋" w:eastAsia="仿宋" w:cs="仿宋"/>
                <w:b/>
                <w:bCs/>
                <w:color w:val="auto"/>
                <w:sz w:val="36"/>
                <w:szCs w:val="36"/>
                <w:highlight w:val="none"/>
                <w:lang w:val="en-US" w:eastAsia="zh-CN"/>
              </w:rPr>
              <w:t>#</w:t>
            </w:r>
            <w:r>
              <w:rPr>
                <w:rFonts w:hint="eastAsia" w:ascii="仿宋" w:hAnsi="仿宋" w:eastAsia="仿宋" w:cs="仿宋"/>
                <w:color w:val="auto"/>
                <w:sz w:val="24"/>
                <w:szCs w:val="24"/>
                <w:highlight w:val="none"/>
                <w:lang w:val="en-US" w:eastAsia="zh-CN"/>
              </w:rPr>
              <w:t>”为核心产品。</w:t>
            </w:r>
          </w:p>
        </w:tc>
      </w:tr>
      <w:tr w14:paraId="5150B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3C8CCF59">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.3</w:t>
            </w:r>
          </w:p>
        </w:tc>
        <w:tc>
          <w:tcPr>
            <w:tcW w:w="1907" w:type="dxa"/>
            <w:shd w:val="clear" w:color="auto" w:fill="auto"/>
            <w:vAlign w:val="center"/>
          </w:tcPr>
          <w:p w14:paraId="49480968">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约定</w:t>
            </w:r>
          </w:p>
        </w:tc>
        <w:tc>
          <w:tcPr>
            <w:tcW w:w="5583" w:type="dxa"/>
            <w:shd w:val="clear" w:color="auto" w:fill="auto"/>
            <w:vAlign w:val="center"/>
          </w:tcPr>
          <w:p w14:paraId="4A8D6991">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1.对质量、技术、资质要求或约定不明确的，应首先按照国家强制性标准要求执行，其次需符合国家推荐性标准、行业/地方标准以及满足合同目的的特定标准。</w:t>
            </w:r>
          </w:p>
          <w:p w14:paraId="516C853B">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2.本招标文件所拟订的技术为基本/主要技术要求，并未对一切技术细节做出规定，也未充分引述有关标准和规范条文，供应商所提供的服务、货物、性能和功能应不低于本文件条款的要求，并应按本招标文件的要求提交符合本技术要求规定及与项目有关的完整的技术方案。</w:t>
            </w:r>
          </w:p>
          <w:p w14:paraId="18AB0E65">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b w:val="0"/>
                <w:bCs w:val="0"/>
                <w:color w:val="auto"/>
                <w:kern w:val="2"/>
                <w:sz w:val="24"/>
                <w:szCs w:val="24"/>
                <w:lang w:val="en-US" w:eastAsia="zh-CN" w:bidi="ar-SA"/>
              </w:rPr>
            </w:pPr>
            <w:r>
              <w:rPr>
                <w:rFonts w:hint="eastAsia" w:ascii="仿宋" w:hAnsi="仿宋" w:eastAsia="仿宋" w:cs="仿宋"/>
                <w:b w:val="0"/>
                <w:bCs w:val="0"/>
                <w:color w:val="auto"/>
                <w:kern w:val="2"/>
                <w:sz w:val="24"/>
                <w:szCs w:val="24"/>
                <w:lang w:val="en-US" w:eastAsia="zh-CN" w:bidi="ar-SA"/>
              </w:rPr>
              <w:t>3.供应商提供的货物必须是全新的、证件齐全的正品货物，提供的服务及货物必须是符合招标文件规定技术要求，并保证使用方在资源使用期间不受第三方提出侵犯其专利权、商标权和设计权等类似的起诉。</w:t>
            </w:r>
          </w:p>
          <w:p w14:paraId="7FB2CC53">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lang w:val="en-US" w:eastAsia="zh-CN"/>
              </w:rPr>
            </w:pPr>
            <w:r>
              <w:rPr>
                <w:rFonts w:hint="eastAsia" w:ascii="仿宋" w:hAnsi="仿宋" w:eastAsia="仿宋" w:cs="仿宋"/>
                <w:b w:val="0"/>
                <w:bCs w:val="0"/>
                <w:color w:val="auto"/>
                <w:kern w:val="2"/>
                <w:sz w:val="24"/>
                <w:szCs w:val="24"/>
                <w:lang w:val="en-US" w:eastAsia="zh-CN" w:bidi="ar-SA"/>
              </w:rPr>
              <w:t>4.供应商必须保证所提供货物、服务等的质量满足国家或行业现行法律法规及相关规章和招标要求，并且承担所有在合同中指定的责任和义务。</w:t>
            </w:r>
          </w:p>
        </w:tc>
      </w:tr>
      <w:tr w14:paraId="627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99A65CC">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19.4</w:t>
            </w:r>
          </w:p>
        </w:tc>
        <w:tc>
          <w:tcPr>
            <w:tcW w:w="1907" w:type="dxa"/>
            <w:shd w:val="clear" w:color="auto" w:fill="auto"/>
            <w:vAlign w:val="center"/>
          </w:tcPr>
          <w:p w14:paraId="553A717B">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虚假材料</w:t>
            </w:r>
          </w:p>
        </w:tc>
        <w:tc>
          <w:tcPr>
            <w:tcW w:w="5583" w:type="dxa"/>
            <w:shd w:val="clear" w:color="auto" w:fill="auto"/>
            <w:vAlign w:val="center"/>
          </w:tcPr>
          <w:p w14:paraId="176552DA">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在政府采购活动中，《中华人民共和国政府采购法》第七十七条所称"虚假材料"指伪造、篡改或变造、涂改的技术参数检测报告、各种证件、证书，虚假的采购合同、相关业绩，虚假的社保证明、工作证明、财务资信证明、人员简历、劳动关系证明等，还包括与客观事实不相符的委托书、授权书或承诺函等。"虚假材料"中的"虚假"是指材料的真实性而非有效性，虚假材料不能等同于无效材料。</w:t>
            </w:r>
          </w:p>
          <w:p w14:paraId="6691F657">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2.对政策理解错误或概念不清而导致的错误、笔误、计算错误以及</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提供的已逾期的证书、未年审的证书等不能认定为虚假材料。</w:t>
            </w:r>
          </w:p>
          <w:p w14:paraId="604D959F">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3.对提供虚假材料谋取中标（成交）的认定，应该同时满足主观和客观两个方面的构成要件，要结合有关的证据材料和供应商篡改、伪造或变造、捏造事实以及该行为的目的性、危害后果等方面由</w:t>
            </w:r>
            <w:r>
              <w:rPr>
                <w:rFonts w:hint="eastAsia" w:ascii="仿宋" w:hAnsi="仿宋" w:eastAsia="仿宋" w:cs="仿宋"/>
                <w:color w:val="auto"/>
                <w:sz w:val="24"/>
                <w:szCs w:val="24"/>
                <w:lang w:val="en-US" w:eastAsia="zh-CN"/>
              </w:rPr>
              <w:t>监管部门</w:t>
            </w:r>
            <w:r>
              <w:rPr>
                <w:rFonts w:hint="eastAsia" w:ascii="仿宋" w:hAnsi="仿宋" w:eastAsia="仿宋" w:cs="仿宋"/>
                <w:color w:val="auto"/>
                <w:sz w:val="24"/>
                <w:szCs w:val="24"/>
                <w:highlight w:val="none"/>
                <w:lang w:val="en-US" w:eastAsia="zh-CN"/>
              </w:rPr>
              <w:t>进行综合考量和判断。</w:t>
            </w:r>
          </w:p>
        </w:tc>
      </w:tr>
      <w:tr w14:paraId="70601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0B35D9D0">
            <w:pPr>
              <w:keepNext w:val="0"/>
              <w:keepLines w:val="0"/>
              <w:pageBreakBefore w:val="0"/>
              <w:kinsoku/>
              <w:wordWrap/>
              <w:overflowPunct/>
              <w:topLinePunct w:val="0"/>
              <w:autoSpaceDE/>
              <w:autoSpaceDN/>
              <w:bidi w:val="0"/>
              <w:adjustRightIn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19.5</w:t>
            </w:r>
          </w:p>
        </w:tc>
        <w:tc>
          <w:tcPr>
            <w:tcW w:w="1907" w:type="dxa"/>
            <w:shd w:val="clear" w:color="auto" w:fill="auto"/>
            <w:vAlign w:val="center"/>
          </w:tcPr>
          <w:p w14:paraId="0C62F911">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无效资料</w:t>
            </w:r>
          </w:p>
        </w:tc>
        <w:tc>
          <w:tcPr>
            <w:tcW w:w="5583" w:type="dxa"/>
            <w:shd w:val="clear" w:color="auto" w:fill="auto"/>
            <w:vAlign w:val="center"/>
          </w:tcPr>
          <w:p w14:paraId="54A572E7">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真实存在，但不符合招标文件相关要求的文件资料。</w:t>
            </w:r>
          </w:p>
        </w:tc>
      </w:tr>
      <w:tr w14:paraId="3E765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3821BCD9">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19.6</w:t>
            </w:r>
          </w:p>
        </w:tc>
        <w:tc>
          <w:tcPr>
            <w:tcW w:w="1907" w:type="dxa"/>
            <w:shd w:val="clear" w:color="auto" w:fill="auto"/>
            <w:vAlign w:val="center"/>
          </w:tcPr>
          <w:p w14:paraId="72746DC9">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串标情形中的“文件异常一致”</w:t>
            </w:r>
          </w:p>
        </w:tc>
        <w:tc>
          <w:tcPr>
            <w:tcW w:w="5583" w:type="dxa"/>
            <w:shd w:val="clear" w:color="auto" w:fill="auto"/>
            <w:vAlign w:val="center"/>
          </w:tcPr>
          <w:p w14:paraId="4B52CCCA">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指极小概率或者完全不可能一致的内容（核心内容、文件结构、格式等）在不同投标文件中同时出现（如</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文件错误的内容雷同；由供应商自行编制的格式或自行编写的方案异常一致；属于某一供应商特有的业绩、编号、标识等在其他</w:t>
            </w:r>
            <w:r>
              <w:rPr>
                <w:rFonts w:hint="eastAsia" w:ascii="仿宋" w:hAnsi="仿宋" w:eastAsia="仿宋" w:cs="仿宋"/>
                <w:strike w:val="0"/>
                <w:dstrike w:val="0"/>
                <w:color w:val="auto"/>
                <w:sz w:val="24"/>
                <w:szCs w:val="24"/>
                <w:highlight w:val="none"/>
                <w:lang w:val="en-US" w:eastAsia="zh-CN"/>
              </w:rPr>
              <w:t>投标</w:t>
            </w:r>
            <w:r>
              <w:rPr>
                <w:rFonts w:hint="eastAsia" w:ascii="仿宋" w:hAnsi="仿宋" w:eastAsia="仿宋" w:cs="仿宋"/>
                <w:color w:val="auto"/>
                <w:sz w:val="24"/>
                <w:szCs w:val="24"/>
                <w:lang w:val="en-US" w:eastAsia="zh-CN"/>
              </w:rPr>
              <w:t>文件中同时出现等情形）。</w:t>
            </w:r>
          </w:p>
        </w:tc>
      </w:tr>
      <w:tr w14:paraId="55ACB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3078F6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19.7</w:t>
            </w:r>
          </w:p>
        </w:tc>
        <w:tc>
          <w:tcPr>
            <w:tcW w:w="1907" w:type="dxa"/>
            <w:shd w:val="clear" w:color="auto" w:fill="auto"/>
            <w:vAlign w:val="center"/>
          </w:tcPr>
          <w:p w14:paraId="0DD39565">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串标情形中的“文件相互混装”</w:t>
            </w:r>
          </w:p>
        </w:tc>
        <w:tc>
          <w:tcPr>
            <w:tcW w:w="5583" w:type="dxa"/>
            <w:shd w:val="clear" w:color="auto" w:fill="auto"/>
            <w:vAlign w:val="center"/>
          </w:tcPr>
          <w:p w14:paraId="0E3368CE">
            <w:pPr>
              <w:keepNext w:val="0"/>
              <w:keepLines w:val="0"/>
              <w:pageBreakBefore w:val="0"/>
              <w:widowControl/>
              <w:kinsoku/>
              <w:wordWrap/>
              <w:overflowPunct/>
              <w:topLinePunct w:val="0"/>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指一家投标文件中装有本项目其他单位（指提交了投标文件的单位）的投标资料即为混装（并非仅指双方互有混装的情形）。</w:t>
            </w:r>
          </w:p>
        </w:tc>
      </w:tr>
      <w:tr w14:paraId="6E68D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0D6A64A">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19.8</w:t>
            </w:r>
          </w:p>
        </w:tc>
        <w:tc>
          <w:tcPr>
            <w:tcW w:w="1907" w:type="dxa"/>
            <w:shd w:val="clear" w:color="auto" w:fill="auto"/>
            <w:vAlign w:val="center"/>
          </w:tcPr>
          <w:p w14:paraId="6286B0DD">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串标情形中的“报价规律性”</w:t>
            </w:r>
          </w:p>
        </w:tc>
        <w:tc>
          <w:tcPr>
            <w:tcW w:w="5583" w:type="dxa"/>
            <w:shd w:val="clear" w:color="auto" w:fill="auto"/>
            <w:vAlign w:val="center"/>
          </w:tcPr>
          <w:p w14:paraId="0659152F">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指投标报价呈现等差或等比数列趋势变化；分项报价完全一致或某些分项价格呈现规律性提高或降低等情形。</w:t>
            </w:r>
          </w:p>
        </w:tc>
      </w:tr>
      <w:tr w14:paraId="100B4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51C5CAA3">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19.9</w:t>
            </w:r>
          </w:p>
        </w:tc>
        <w:tc>
          <w:tcPr>
            <w:tcW w:w="1907" w:type="dxa"/>
            <w:shd w:val="clear" w:color="auto" w:fill="auto"/>
            <w:vAlign w:val="center"/>
          </w:tcPr>
          <w:p w14:paraId="0A63A3D0">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印章使用</w:t>
            </w:r>
          </w:p>
        </w:tc>
        <w:tc>
          <w:tcPr>
            <w:tcW w:w="5583" w:type="dxa"/>
            <w:shd w:val="clear" w:color="auto" w:fill="auto"/>
            <w:vAlign w:val="center"/>
          </w:tcPr>
          <w:p w14:paraId="604E9B06">
            <w:pPr>
              <w:keepNext w:val="0"/>
              <w:keepLines w:val="0"/>
              <w:pageBreakBefore w:val="0"/>
              <w:widowControl/>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投标使用的单位印章均指电子签章。</w:t>
            </w:r>
          </w:p>
        </w:tc>
      </w:tr>
      <w:tr w14:paraId="363E9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1B2F98A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.10</w:t>
            </w:r>
          </w:p>
        </w:tc>
        <w:tc>
          <w:tcPr>
            <w:tcW w:w="1907" w:type="dxa"/>
            <w:shd w:val="clear" w:color="auto" w:fill="auto"/>
            <w:vAlign w:val="center"/>
          </w:tcPr>
          <w:p w14:paraId="2928E7AD">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投标风险</w:t>
            </w:r>
          </w:p>
        </w:tc>
        <w:tc>
          <w:tcPr>
            <w:tcW w:w="5583" w:type="dxa"/>
            <w:shd w:val="clear" w:color="auto" w:fill="auto"/>
            <w:vAlign w:val="center"/>
          </w:tcPr>
          <w:p w14:paraId="37B67843">
            <w:pPr>
              <w:keepNext w:val="0"/>
              <w:keepLines w:val="0"/>
              <w:pageBreakBefore w:val="0"/>
              <w:widowControl/>
              <w:numPr>
                <w:ilvl w:val="0"/>
                <w:numId w:val="0"/>
              </w:numPr>
              <w:kinsoku/>
              <w:wordWrap/>
              <w:overflowPunct/>
              <w:topLinePunct w:val="0"/>
              <w:autoSpaceDE/>
              <w:autoSpaceDN/>
              <w:bidi w:val="0"/>
              <w:adjustRightInd/>
              <w:spacing w:beforeAutospacing="0" w:afterAutospacing="0" w:line="500" w:lineRule="exact"/>
              <w:ind w:left="0" w:leftChars="0" w:firstLine="0" w:firstLineChars="0"/>
              <w:jc w:val="both"/>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无论投标结果如何，供应商应自行承担参与本项目发生的所有费用和应担风险。</w:t>
            </w:r>
          </w:p>
        </w:tc>
      </w:tr>
      <w:tr w14:paraId="0D189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59FF5CA4">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.11</w:t>
            </w:r>
          </w:p>
        </w:tc>
        <w:tc>
          <w:tcPr>
            <w:tcW w:w="1907" w:type="dxa"/>
            <w:shd w:val="clear" w:color="auto" w:fill="auto"/>
            <w:vAlign w:val="center"/>
          </w:tcPr>
          <w:p w14:paraId="631D35E4">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正当理由</w:t>
            </w:r>
          </w:p>
        </w:tc>
        <w:tc>
          <w:tcPr>
            <w:tcW w:w="5583" w:type="dxa"/>
            <w:shd w:val="clear" w:color="auto" w:fill="auto"/>
            <w:vAlign w:val="center"/>
          </w:tcPr>
          <w:p w14:paraId="365953E7">
            <w:pPr>
              <w:keepNext w:val="0"/>
              <w:keepLines w:val="0"/>
              <w:pageBreakBefore w:val="0"/>
              <w:kinsoku/>
              <w:wordWrap/>
              <w:overflowPunct/>
              <w:topLinePunct w:val="0"/>
              <w:autoSpaceDE/>
              <w:autoSpaceDN/>
              <w:bidi w:val="0"/>
              <w:adjustRightInd/>
              <w:spacing w:beforeAutospacing="0" w:afterAutospacing="0" w:line="500" w:lineRule="exact"/>
              <w:jc w:val="both"/>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是指不可抗力</w:t>
            </w:r>
            <w:r>
              <w:rPr>
                <w:rFonts w:hint="eastAsia" w:ascii="仿宋" w:hAnsi="仿宋" w:eastAsia="仿宋" w:cs="仿宋"/>
                <w:color w:val="auto"/>
                <w:sz w:val="24"/>
                <w:szCs w:val="24"/>
                <w:lang w:val="en-US" w:eastAsia="zh-CN"/>
              </w:rPr>
              <w:t>（指不能预见、不能避免、不能克服的客观情况）：</w:t>
            </w:r>
            <w:r>
              <w:rPr>
                <w:rFonts w:hint="eastAsia" w:ascii="仿宋" w:hAnsi="仿宋" w:eastAsia="仿宋" w:cs="仿宋"/>
                <w:color w:val="auto"/>
                <w:sz w:val="24"/>
                <w:szCs w:val="24"/>
                <w:highlight w:val="none"/>
                <w:lang w:val="en-US" w:eastAsia="zh-CN"/>
              </w:rPr>
              <w:t>一是自然灾害，例如地震、台风、洪水等；二是某些政府行为，例如政府颁布新政策、法律和采取行政措施；三是社会异常事件，例如罢工、战争等。</w:t>
            </w:r>
          </w:p>
        </w:tc>
      </w:tr>
      <w:tr w14:paraId="10572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shd w:val="clear" w:color="auto" w:fill="auto"/>
            <w:vAlign w:val="center"/>
          </w:tcPr>
          <w:p w14:paraId="6E5AD36B">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19</w:t>
            </w:r>
            <w:r>
              <w:rPr>
                <w:rFonts w:hint="eastAsia" w:ascii="仿宋" w:hAnsi="仿宋" w:eastAsia="仿宋" w:cs="仿宋"/>
                <w:color w:val="auto"/>
                <w:kern w:val="2"/>
                <w:sz w:val="24"/>
                <w:szCs w:val="24"/>
                <w:lang w:val="en-US" w:eastAsia="zh-CN" w:bidi="ar-SA"/>
              </w:rPr>
              <w:t>.12</w:t>
            </w:r>
          </w:p>
        </w:tc>
        <w:tc>
          <w:tcPr>
            <w:tcW w:w="1907" w:type="dxa"/>
            <w:shd w:val="clear" w:color="auto" w:fill="auto"/>
            <w:vAlign w:val="center"/>
          </w:tcPr>
          <w:p w14:paraId="5BF2AEC3">
            <w:pPr>
              <w:keepNext w:val="0"/>
              <w:keepLines w:val="0"/>
              <w:pageBreakBefore w:val="0"/>
              <w:widowControl w:val="0"/>
              <w:kinsoku/>
              <w:wordWrap/>
              <w:overflowPunct/>
              <w:topLinePunct w:val="0"/>
              <w:autoSpaceDE/>
              <w:autoSpaceDN/>
              <w:bidi w:val="0"/>
              <w:adjustRightInd/>
              <w:snapToGrid/>
              <w:spacing w:beforeAutospacing="0" w:afterAutospacing="0" w:line="500" w:lineRule="exact"/>
              <w:jc w:val="center"/>
              <w:textAlignment w:val="auto"/>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商业秘密</w:t>
            </w:r>
          </w:p>
        </w:tc>
        <w:tc>
          <w:tcPr>
            <w:tcW w:w="5583" w:type="dxa"/>
            <w:shd w:val="clear" w:color="auto" w:fill="auto"/>
            <w:vAlign w:val="center"/>
          </w:tcPr>
          <w:p w14:paraId="787ABC77">
            <w:pPr>
              <w:keepNext w:val="0"/>
              <w:keepLines w:val="0"/>
              <w:pageBreakBefore w:val="0"/>
              <w:kinsoku/>
              <w:wordWrap/>
              <w:overflowPunct/>
              <w:topLinePunct w:val="0"/>
              <w:autoSpaceDE/>
              <w:autoSpaceDN/>
              <w:bidi w:val="0"/>
              <w:adjustRightInd/>
              <w:spacing w:beforeAutospacing="0" w:afterAutospacing="0" w:line="500" w:lineRule="exact"/>
              <w:jc w:val="both"/>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是指不为公众所知悉、具有商业价值并经权利人采取相应保密措施的技术信息和经营信息等商业信息。主要指技术秘密、商业情报及经济信息、价格等与技术和经营活动有关的相关信息，如生产工艺、生产原料、客户信息、相关数据、管理、财务、购销渠道以及招投标资料等当事人不愿公开的商业秘密。投标文件是</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根据招标文件的要求编制的，具有独特、个性的特征，并具有实用性，能为</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带来经济利益，因此其属于</w:t>
            </w:r>
            <w:r>
              <w:rPr>
                <w:rFonts w:hint="eastAsia" w:ascii="仿宋" w:hAnsi="仿宋" w:eastAsia="仿宋" w:cs="仿宋"/>
                <w:color w:val="auto"/>
                <w:sz w:val="24"/>
                <w:szCs w:val="24"/>
                <w:lang w:val="en-US" w:eastAsia="zh-CN"/>
              </w:rPr>
              <w:t>供应商</w:t>
            </w:r>
            <w:r>
              <w:rPr>
                <w:rFonts w:hint="eastAsia" w:ascii="仿宋" w:hAnsi="仿宋" w:eastAsia="仿宋" w:cs="仿宋"/>
                <w:color w:val="auto"/>
                <w:sz w:val="24"/>
                <w:szCs w:val="24"/>
                <w:highlight w:val="none"/>
                <w:lang w:val="en-US" w:eastAsia="zh-CN"/>
              </w:rPr>
              <w:t>的商业秘密，不</w:t>
            </w:r>
            <w:r>
              <w:rPr>
                <w:rFonts w:hint="eastAsia" w:ascii="仿宋" w:hAnsi="仿宋" w:eastAsia="仿宋" w:cs="仿宋"/>
                <w:color w:val="auto"/>
                <w:sz w:val="24"/>
                <w:szCs w:val="24"/>
                <w:lang w:val="en-US" w:eastAsia="zh-CN"/>
              </w:rPr>
              <w:t>可</w:t>
            </w:r>
            <w:r>
              <w:rPr>
                <w:rFonts w:hint="eastAsia" w:ascii="仿宋" w:hAnsi="仿宋" w:eastAsia="仿宋" w:cs="仿宋"/>
                <w:color w:val="auto"/>
                <w:sz w:val="24"/>
                <w:szCs w:val="24"/>
                <w:highlight w:val="none"/>
                <w:lang w:val="en-US" w:eastAsia="zh-CN"/>
              </w:rPr>
              <w:t>公开。</w:t>
            </w:r>
          </w:p>
        </w:tc>
      </w:tr>
      <w:tr w14:paraId="3EBCB9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1191B50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19.13</w:t>
            </w:r>
          </w:p>
        </w:tc>
        <w:tc>
          <w:tcPr>
            <w:tcW w:w="1907" w:type="dxa"/>
            <w:shd w:val="clear" w:color="auto" w:fill="auto"/>
            <w:vAlign w:val="center"/>
          </w:tcPr>
          <w:p w14:paraId="5702D681">
            <w:pPr>
              <w:keepNext w:val="0"/>
              <w:keepLines w:val="0"/>
              <w:pageBreakBefore w:val="0"/>
              <w:kinsoku/>
              <w:wordWrap/>
              <w:overflowPunct/>
              <w:topLinePunct w:val="0"/>
              <w:autoSpaceDE/>
              <w:autoSpaceDN/>
              <w:bidi w:val="0"/>
              <w:adjustRightInd/>
              <w:spacing w:beforeAutospacing="0" w:afterAutospacing="0" w:line="500" w:lineRule="exact"/>
              <w:jc w:val="center"/>
              <w:rPr>
                <w:rFonts w:hint="eastAsia" w:ascii="仿宋" w:hAnsi="仿宋" w:eastAsia="仿宋" w:cs="仿宋"/>
                <w:color w:val="auto"/>
                <w:kern w:val="2"/>
                <w:sz w:val="24"/>
                <w:szCs w:val="24"/>
                <w:lang w:val="en-US" w:eastAsia="zh-CN" w:bidi="ar-SA"/>
              </w:rPr>
            </w:pPr>
            <w:r>
              <w:rPr>
                <w:rFonts w:hint="eastAsia" w:ascii="仿宋" w:hAnsi="仿宋" w:eastAsia="仿宋" w:cs="仿宋"/>
                <w:color w:val="auto"/>
                <w:sz w:val="24"/>
                <w:szCs w:val="24"/>
                <w:highlight w:val="none"/>
                <w:lang w:val="en-US" w:eastAsia="zh-CN"/>
              </w:rPr>
              <w:t>保密</w:t>
            </w:r>
          </w:p>
        </w:tc>
        <w:tc>
          <w:tcPr>
            <w:tcW w:w="5583" w:type="dxa"/>
            <w:shd w:val="clear" w:color="auto" w:fill="auto"/>
            <w:vAlign w:val="center"/>
          </w:tcPr>
          <w:p w14:paraId="0F00BD4C">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sz w:val="24"/>
                <w:szCs w:val="24"/>
                <w:highlight w:val="none"/>
                <w:lang w:val="en-US" w:eastAsia="zh-CN"/>
              </w:rPr>
              <w:t>采购活动的当事各方，不得以任何形式向任何单位和个人提供与本项目有关的</w:t>
            </w:r>
            <w:r>
              <w:rPr>
                <w:rFonts w:hint="eastAsia" w:ascii="仿宋" w:hAnsi="仿宋" w:eastAsia="仿宋" w:cs="仿宋"/>
                <w:strike w:val="0"/>
                <w:dstrike w:val="0"/>
                <w:color w:val="auto"/>
                <w:sz w:val="24"/>
                <w:szCs w:val="24"/>
                <w:highlight w:val="none"/>
                <w:lang w:val="en-US" w:eastAsia="zh-CN"/>
              </w:rPr>
              <w:t>招标</w:t>
            </w:r>
            <w:r>
              <w:rPr>
                <w:rFonts w:hint="eastAsia" w:ascii="仿宋" w:hAnsi="仿宋" w:eastAsia="仿宋" w:cs="仿宋"/>
                <w:color w:val="auto"/>
                <w:sz w:val="24"/>
                <w:szCs w:val="24"/>
                <w:highlight w:val="none"/>
                <w:lang w:val="en-US" w:eastAsia="zh-CN"/>
              </w:rPr>
              <w:t>资料，均应对招投标文件中的商业和技术等内容进行保密，违者承担法律责任。</w:t>
            </w:r>
          </w:p>
        </w:tc>
      </w:tr>
      <w:tr w14:paraId="79341F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0F8718C">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20</w:t>
            </w:r>
          </w:p>
        </w:tc>
        <w:tc>
          <w:tcPr>
            <w:tcW w:w="1907" w:type="dxa"/>
            <w:shd w:val="clear" w:color="auto" w:fill="auto"/>
            <w:vAlign w:val="center"/>
          </w:tcPr>
          <w:p w14:paraId="6E087E83">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退换货</w:t>
            </w:r>
          </w:p>
        </w:tc>
        <w:tc>
          <w:tcPr>
            <w:tcW w:w="5583" w:type="dxa"/>
            <w:shd w:val="clear" w:color="auto" w:fill="auto"/>
            <w:vAlign w:val="center"/>
          </w:tcPr>
          <w:p w14:paraId="20042DE0">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供应商应有详细完善科学的退换货流程，对交货、存储、使用、质保期内、质保期外等环节出现的退换货及时效性进行承诺。</w:t>
            </w:r>
          </w:p>
          <w:p w14:paraId="4C855ABE">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2.物资验收时未发现质量问题，而入库后七天内发现质量问题，成交供应商无法证明因监狱保管、使用不善导致质量问题的，成交供应商应无条件更换该批次该品种物资。</w:t>
            </w:r>
          </w:p>
        </w:tc>
      </w:tr>
      <w:tr w14:paraId="0F2A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53E2D53D">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kern w:val="2"/>
                <w:sz w:val="24"/>
                <w:szCs w:val="24"/>
                <w:lang w:val="en-US" w:eastAsia="zh-CN" w:bidi="ar-SA"/>
              </w:rPr>
              <w:t>21</w:t>
            </w:r>
          </w:p>
        </w:tc>
        <w:tc>
          <w:tcPr>
            <w:tcW w:w="1907" w:type="dxa"/>
            <w:shd w:val="clear" w:color="auto" w:fill="auto"/>
            <w:vAlign w:val="center"/>
          </w:tcPr>
          <w:p w14:paraId="3D6085C9">
            <w:pPr>
              <w:keepNext w:val="0"/>
              <w:keepLines w:val="0"/>
              <w:pageBreakBefore w:val="0"/>
              <w:kinsoku/>
              <w:wordWrap/>
              <w:overflowPunct/>
              <w:topLinePunct w:val="0"/>
              <w:autoSpaceDE/>
              <w:autoSpaceDN/>
              <w:bidi w:val="0"/>
              <w:adjustRightInd/>
              <w:spacing w:line="500" w:lineRule="exact"/>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售后保障服务要求</w:t>
            </w:r>
          </w:p>
        </w:tc>
        <w:tc>
          <w:tcPr>
            <w:tcW w:w="5583" w:type="dxa"/>
            <w:shd w:val="clear" w:color="auto" w:fill="auto"/>
            <w:vAlign w:val="center"/>
          </w:tcPr>
          <w:p w14:paraId="23963DD4">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1.提供简单、实用、方便、快捷的售后服务方式，提供售后电话热线、网上咨询等远程在线服务和快速的现场响应服务等，确保客户反馈在24小时内得到回复。</w:t>
            </w:r>
          </w:p>
          <w:p w14:paraId="3A06BE4E">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2.配备专人进行售后服务，经验丰富，热心负责。</w:t>
            </w:r>
          </w:p>
          <w:p w14:paraId="13A66B9E">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3.中标人在接到采购人通过电话、电子邮件等方式提出相关请求后，在1小时内予以响应，一般问题到达现场服务的响应时间不超过4小时，重大紧急问题到达现场服务的响应时间不超过2小时。</w:t>
            </w:r>
          </w:p>
          <w:p w14:paraId="56A57339">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4.建立用户投诉和回访及质量跟踪制度，做好问题记录，及时处理、改正完善不足之处。</w:t>
            </w:r>
          </w:p>
          <w:p w14:paraId="6194B81D">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5.日常进行客户有关货物的存储管理，并提供专业化的技术指导。</w:t>
            </w:r>
          </w:p>
          <w:p w14:paraId="0D4FB035">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因产品质量问题出现安全等应急事故，供应商应在2小时内到达现场处理，主动做好协调、救援、安抚、善后等工作。若出现群体呕吐、腹泻等其他情况，经相关职能部门或机构检测确系产品质量问题导致的，由中标人负全责，所造成的一切经济损失和法律责任由中标人自行承担。</w:t>
            </w:r>
          </w:p>
          <w:p w14:paraId="66AEB270">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7.定期回访客户，收集意见反馈，升级产品质量，优化服务方案。</w:t>
            </w:r>
          </w:p>
          <w:p w14:paraId="484B8A3C">
            <w:pPr>
              <w:keepNext w:val="0"/>
              <w:keepLines w:val="0"/>
              <w:pageBreakBefore w:val="0"/>
              <w:kinsoku/>
              <w:wordWrap/>
              <w:overflowPunct/>
              <w:topLinePunct w:val="0"/>
              <w:autoSpaceDE/>
              <w:autoSpaceDN/>
              <w:bidi w:val="0"/>
              <w:adjustRightInd/>
              <w:spacing w:line="500" w:lineRule="exac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8.交货后发现质量问题时退换货的承诺及流程。</w:t>
            </w:r>
          </w:p>
        </w:tc>
      </w:tr>
      <w:tr w14:paraId="5D7FD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890" w:type="dxa"/>
            <w:vAlign w:val="center"/>
          </w:tcPr>
          <w:p w14:paraId="232EF376">
            <w:pPr>
              <w:keepNext w:val="0"/>
              <w:keepLines w:val="0"/>
              <w:pageBreakBefore w:val="0"/>
              <w:widowControl w:val="0"/>
              <w:kinsoku/>
              <w:wordWrap/>
              <w:overflowPunct/>
              <w:topLinePunct w:val="0"/>
              <w:autoSpaceDE/>
              <w:autoSpaceDN/>
              <w:bidi w:val="0"/>
              <w:adjustRightInd/>
              <w:snapToGrid/>
              <w:spacing w:beforeAutospacing="0" w:afterAutospacing="0" w:line="500" w:lineRule="exact"/>
              <w:ind w:left="0" w:leftChars="0"/>
              <w:jc w:val="center"/>
              <w:textAlignment w:val="auto"/>
              <w:rPr>
                <w:rFonts w:hint="default" w:ascii="仿宋" w:hAnsi="仿宋" w:eastAsia="仿宋" w:cs="仿宋"/>
                <w:color w:val="auto"/>
                <w:kern w:val="2"/>
                <w:sz w:val="24"/>
                <w:szCs w:val="24"/>
                <w:lang w:val="en-US" w:eastAsia="zh-CN" w:bidi="ar-SA"/>
              </w:rPr>
            </w:pPr>
            <w:r>
              <w:rPr>
                <w:rFonts w:hint="eastAsia" w:ascii="仿宋" w:hAnsi="仿宋" w:eastAsia="仿宋" w:cs="仿宋"/>
                <w:color w:val="auto"/>
                <w:sz w:val="24"/>
                <w:szCs w:val="24"/>
                <w:lang w:val="en-US" w:eastAsia="zh-CN"/>
              </w:rPr>
              <w:t>22</w:t>
            </w:r>
            <w:bookmarkStart w:id="0" w:name="_GoBack"/>
            <w:bookmarkEnd w:id="0"/>
          </w:p>
        </w:tc>
        <w:tc>
          <w:tcPr>
            <w:tcW w:w="1907" w:type="dxa"/>
            <w:vAlign w:val="center"/>
          </w:tcPr>
          <w:p w14:paraId="7BC3DD85">
            <w:pPr>
              <w:keepNext w:val="0"/>
              <w:keepLines w:val="0"/>
              <w:pageBreakBefore w:val="0"/>
              <w:kinsoku/>
              <w:wordWrap/>
              <w:overflowPunct/>
              <w:topLinePunct w:val="0"/>
              <w:autoSpaceDE/>
              <w:autoSpaceDN/>
              <w:bidi w:val="0"/>
              <w:adjustRightInd/>
              <w:snapToGrid w:val="0"/>
              <w:spacing w:line="500" w:lineRule="exact"/>
              <w:jc w:val="center"/>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其他</w:t>
            </w:r>
          </w:p>
        </w:tc>
        <w:tc>
          <w:tcPr>
            <w:tcW w:w="5583" w:type="dxa"/>
            <w:vAlign w:val="center"/>
          </w:tcPr>
          <w:p w14:paraId="3E3FC95A">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1.本文所称的“以上”、“以下”、“内”、“以内”、“届满”，包括本数；所称的“不足”、“不满”、“超过”、“以外”，不包括本数。</w:t>
            </w:r>
          </w:p>
          <w:p w14:paraId="40F8E775">
            <w:pPr>
              <w:keepNext w:val="0"/>
              <w:keepLines w:val="0"/>
              <w:pageBreakBefore w:val="0"/>
              <w:kinsoku/>
              <w:wordWrap/>
              <w:overflowPunct/>
              <w:topLinePunct w:val="0"/>
              <w:autoSpaceDE/>
              <w:autoSpaceDN/>
              <w:bidi w:val="0"/>
              <w:adjustRightInd/>
              <w:snapToGrid w:val="0"/>
              <w:spacing w:line="500" w:lineRule="exact"/>
              <w:textAlignment w:val="baseline"/>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2.文中“自....之日起”，不包含当日，以下一日开始计算</w:t>
            </w:r>
            <w:r>
              <w:rPr>
                <w:rFonts w:hint="eastAsia" w:ascii="仿宋" w:hAnsi="仿宋" w:eastAsia="仿宋" w:cs="仿宋"/>
                <w:color w:val="0000FF"/>
                <w:sz w:val="24"/>
                <w:szCs w:val="24"/>
                <w:lang w:val="en-US" w:eastAsia="zh-CN"/>
              </w:rPr>
              <w:t>；</w:t>
            </w:r>
          </w:p>
          <w:p w14:paraId="30C0130A">
            <w:pPr>
              <w:keepNext w:val="0"/>
              <w:keepLines w:val="0"/>
              <w:pageBreakBefore w:val="0"/>
              <w:kinsoku/>
              <w:wordWrap/>
              <w:overflowPunct/>
              <w:topLinePunct w:val="0"/>
              <w:autoSpaceDE/>
              <w:autoSpaceDN/>
              <w:bidi w:val="0"/>
              <w:adjustRightInd/>
              <w:snapToGrid w:val="0"/>
              <w:spacing w:line="500" w:lineRule="exact"/>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“日”等同“日历日”或“天”。</w:t>
            </w:r>
          </w:p>
        </w:tc>
      </w:tr>
    </w:tbl>
    <w:p w14:paraId="597FD61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CB591A"/>
    <w:rsid w:val="1DCB591A"/>
    <w:rsid w:val="49E8687D"/>
    <w:rsid w:val="7FB9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99"/>
    <w:pPr>
      <w:ind w:firstLine="200" w:firstLineChars="200"/>
    </w:pPr>
    <w:rPr>
      <w:szCs w:val="21"/>
    </w:rPr>
  </w:style>
  <w:style w:type="paragraph" w:styleId="3">
    <w:name w:val="Plain Text"/>
    <w:basedOn w:val="1"/>
    <w:next w:val="1"/>
    <w:qFormat/>
    <w:uiPriority w:val="0"/>
    <w:rPr>
      <w:rFonts w:ascii="宋体" w:hAnsi="Courier New" w:cs="Courier New"/>
      <w:sz w:val="21"/>
      <w:szCs w:val="21"/>
    </w:rPr>
  </w:style>
  <w:style w:type="paragraph" w:styleId="4">
    <w:name w:val="toa heading"/>
    <w:basedOn w:val="1"/>
    <w:next w:val="1"/>
    <w:semiHidden/>
    <w:qFormat/>
    <w:uiPriority w:val="99"/>
    <w:pPr>
      <w:spacing w:before="120"/>
    </w:pPr>
    <w:rPr>
      <w:rFonts w:ascii="Cambria" w:hAnsi="Cambria"/>
      <w:sz w:val="24"/>
    </w:rPr>
  </w:style>
  <w:style w:type="paragraph" w:styleId="5">
    <w:name w:val="annotation text"/>
    <w:basedOn w:val="1"/>
    <w:qFormat/>
    <w:uiPriority w:val="0"/>
    <w:pPr>
      <w:jc w:val="left"/>
    </w:pPr>
  </w:style>
  <w:style w:type="paragraph" w:styleId="6">
    <w:name w:val="toc 4"/>
    <w:basedOn w:val="1"/>
    <w:next w:val="1"/>
    <w:qFormat/>
    <w:uiPriority w:val="0"/>
    <w:pPr>
      <w:tabs>
        <w:tab w:val="left" w:pos="1890"/>
        <w:tab w:val="right" w:leader="dot" w:pos="8296"/>
      </w:tabs>
      <w:ind w:left="630" w:leftChars="300"/>
    </w:pPr>
    <w:rPr>
      <w:rFonts w:ascii="Calibri" w:hAnsi="Calibri"/>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p15"/>
    <w:basedOn w:val="1"/>
    <w:qFormat/>
    <w:uiPriority w:val="99"/>
    <w:pPr>
      <w:widowControl/>
    </w:pPr>
    <w:rPr>
      <w:kern w:val="0"/>
      <w:sz w:val="21"/>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5756</Words>
  <Characters>6027</Characters>
  <Lines>0</Lines>
  <Paragraphs>0</Paragraphs>
  <TotalTime>2</TotalTime>
  <ScaleCrop>false</ScaleCrop>
  <LinksUpToDate>false</LinksUpToDate>
  <CharactersWithSpaces>6031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2025-11-03T08:48:00Z</dcterms:created>
  <dc:creator>左左</dc:creator>
  <cp:lastModifiedBy>左左</cp:lastModifiedBy>
  <dcterms:modified xsi:type="dcterms:W3CDTF">2025-11-05T01:48:00Z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1598825DB9D84155897E3726FCBAF7FC_11</vt:lpwstr>
  </property>
  <property fmtid="{D5CDD505-2E9C-101B-9397-08002B2CF9AE}" pid="4" name="KSOTemplateDocerSaveRecord">
    <vt:lpwstr>eyJoZGlkIjoiMGVmNjJmZGJjZjhhNGVmNzg0NTU0Y2ExNjM1ZTI1ODciLCJ1c2VySWQiOiI1NzY5ODc4MzkifQ==</vt:lpwstr>
  </property>
</Properties>
</file>