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版本号：HXGJXM2025-ZC-DY102020251202001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主院区直线加速器保修服务采购项目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HXGJXM2025-ZC-DY1020</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华夏国际项目管理（西安）有限公司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主院区直线加速器保修服务采购项目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HXGJXM2025-ZC-DY1020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主院区直线加速器保修服务采购项目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主院区直线加速器保修服务采购项目。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谈判截止日前一年内在本单位已缴存的至少一个月的社会保障资金凭证）；法定代表人直接参加谈判，须提供法定代表人身份证明。</w:t>
      </w:r>
    </w:p>
    <w:p>
      <w:pPr>
        <w:pStyle w:val="null3"/>
      </w:pPr>
      <w:r>
        <w:rPr>
          <w:rFonts w:ascii="仿宋_GB2312" w:hAnsi="仿宋_GB2312" w:cs="仿宋_GB2312" w:eastAsia="仿宋_GB2312"/>
        </w:rPr>
        <w:t>2、信用记录：供应商未被“信用中国”网站（www.cred 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3、谈判保证金：谈判保证金缴纳凭证或担保机构出具的保函。</w:t>
      </w:r>
    </w:p>
    <w:p>
      <w:pPr>
        <w:pStyle w:val="null3"/>
      </w:pPr>
      <w:r>
        <w:rPr>
          <w:rFonts w:ascii="仿宋_GB2312" w:hAnsi="仿宋_GB2312" w:cs="仿宋_GB2312" w:eastAsia="仿宋_GB2312"/>
        </w:rPr>
        <w:t>4、非联合体：本项目不接受联合体。</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陈老师(采招办）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柴彩珍、陆文科、康敏茹、张艳萍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规定的招标代理服务收费标准，50万元（含）以下项目按照下浮40%进行收取；50万元（不含）以上的项目按照下浮43%进行收取。 开户名称：华夏国际项目管理（西安）有限公司第一分公司 开户银行：中国光大银行股份有限公司西安南二环支行 银行账号：78620188000199459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以采购人实际要求为准。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主院区直线加速器保修服务采购项目。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维修加速器主机等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标的名称：维修加速器主机等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1.维修范围和目标：</w:t>
            </w:r>
          </w:p>
          <w:p>
            <w:pPr>
              <w:pStyle w:val="null3"/>
              <w:ind w:firstLine="400"/>
              <w:jc w:val="left"/>
            </w:pPr>
            <w:r>
              <w:rPr>
                <w:rFonts w:ascii="仿宋_GB2312" w:hAnsi="仿宋_GB2312" w:cs="仿宋_GB2312" w:eastAsia="仿宋_GB2312"/>
              </w:rPr>
              <w:t>加速器主机、</w:t>
            </w:r>
            <w:r>
              <w:rPr>
                <w:rFonts w:ascii="仿宋_GB2312" w:hAnsi="仿宋_GB2312" w:cs="仿宋_GB2312" w:eastAsia="仿宋_GB2312"/>
              </w:rPr>
              <w:t>MLC、控制系统、床、iViewGT、XVI、水冷机。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b/>
              </w:rPr>
              <w:t>2.医科达服务支援系统：</w:t>
            </w:r>
          </w:p>
          <w:p>
            <w:pPr>
              <w:pStyle w:val="null3"/>
              <w:ind w:firstLine="400"/>
              <w:jc w:val="left"/>
            </w:pPr>
            <w:r>
              <w:rPr>
                <w:rFonts w:ascii="仿宋_GB2312" w:hAnsi="仿宋_GB2312" w:cs="仿宋_GB2312" w:eastAsia="仿宋_GB2312"/>
              </w:rPr>
              <w:t>免费服务热线</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责任工程师远程维修技术支持：维修网络、电话、传真、邮件等。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b/>
              </w:rPr>
              <w:t>3.现场紧急维修服务：</w:t>
            </w:r>
          </w:p>
          <w:p>
            <w:pPr>
              <w:pStyle w:val="null3"/>
              <w:ind w:firstLine="400"/>
              <w:jc w:val="left"/>
            </w:pPr>
            <w:r>
              <w:rPr>
                <w:rFonts w:ascii="仿宋_GB2312" w:hAnsi="仿宋_GB2312" w:cs="仿宋_GB2312" w:eastAsia="仿宋_GB2312"/>
              </w:rPr>
              <w:t>3.1 资质工程师工作日紧急上门维修，4小时内响应，24小时内到达现场。</w:t>
            </w:r>
          </w:p>
          <w:p>
            <w:pPr>
              <w:pStyle w:val="null3"/>
              <w:ind w:firstLine="400"/>
              <w:jc w:val="left"/>
            </w:pPr>
            <w:r>
              <w:rPr>
                <w:rFonts w:ascii="仿宋_GB2312" w:hAnsi="仿宋_GB2312" w:cs="仿宋_GB2312" w:eastAsia="仿宋_GB2312"/>
              </w:rPr>
              <w:t>3.2 疑难维修资深全球工程师协同支援。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b/>
              </w:rPr>
              <w:t>4.质控下的维修用零部件供应：</w:t>
            </w:r>
          </w:p>
          <w:p>
            <w:pPr>
              <w:pStyle w:val="null3"/>
              <w:ind w:firstLine="400"/>
              <w:jc w:val="left"/>
            </w:pPr>
            <w:r>
              <w:rPr>
                <w:rFonts w:ascii="仿宋_GB2312" w:hAnsi="仿宋_GB2312" w:cs="仿宋_GB2312" w:eastAsia="仿宋_GB2312"/>
              </w:rPr>
              <w:t>4.1 工作日平均不超过24小时到现场。</w:t>
            </w:r>
          </w:p>
          <w:p>
            <w:pPr>
              <w:pStyle w:val="null3"/>
              <w:ind w:firstLine="400"/>
              <w:jc w:val="left"/>
            </w:pPr>
            <w:r>
              <w:rPr>
                <w:rFonts w:ascii="仿宋_GB2312" w:hAnsi="仿宋_GB2312" w:cs="仿宋_GB2312" w:eastAsia="仿宋_GB2312"/>
              </w:rPr>
              <w:t>4.2 稀缺零部件全球调运。</w:t>
            </w:r>
          </w:p>
          <w:p>
            <w:pPr>
              <w:pStyle w:val="null3"/>
              <w:ind w:firstLine="400"/>
              <w:jc w:val="left"/>
            </w:pPr>
            <w:r>
              <w:rPr>
                <w:rFonts w:ascii="仿宋_GB2312" w:hAnsi="仿宋_GB2312" w:cs="仿宋_GB2312" w:eastAsia="仿宋_GB2312"/>
              </w:rPr>
              <w:t>4.3 加速管维修及更换。</w:t>
            </w:r>
          </w:p>
          <w:p>
            <w:pPr>
              <w:pStyle w:val="null3"/>
              <w:ind w:firstLine="400"/>
              <w:jc w:val="left"/>
            </w:pPr>
            <w:r>
              <w:rPr>
                <w:rFonts w:ascii="仿宋_GB2312" w:hAnsi="仿宋_GB2312" w:cs="仿宋_GB2312" w:eastAsia="仿宋_GB2312"/>
              </w:rPr>
              <w:t>4.4 维修用零部件供应。</w:t>
            </w:r>
          </w:p>
          <w:p>
            <w:pPr>
              <w:pStyle w:val="null3"/>
              <w:ind w:firstLine="400"/>
              <w:jc w:val="left"/>
            </w:pPr>
            <w:r>
              <w:rPr>
                <w:rFonts w:ascii="仿宋_GB2312" w:hAnsi="仿宋_GB2312" w:cs="仿宋_GB2312" w:eastAsia="仿宋_GB2312"/>
              </w:rPr>
              <w:t>4.5 本保修合同不包含零部件。</w:t>
            </w:r>
          </w:p>
          <w:p>
            <w:pPr>
              <w:pStyle w:val="null3"/>
              <w:ind w:firstLine="400"/>
              <w:jc w:val="left"/>
            </w:pPr>
            <w:r>
              <w:rPr>
                <w:rFonts w:ascii="仿宋_GB2312" w:hAnsi="仿宋_GB2312" w:cs="仿宋_GB2312" w:eastAsia="仿宋_GB2312"/>
              </w:rPr>
              <w:t>4.6 付费零部件优惠价格：公司标准报价的九折优惠。</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b/>
              </w:rPr>
              <w:t>5.预维修服务</w:t>
            </w:r>
            <w:r>
              <w:rPr>
                <w:rFonts w:ascii="仿宋_GB2312" w:hAnsi="仿宋_GB2312" w:cs="仿宋_GB2312" w:eastAsia="仿宋_GB2312"/>
                <w:b/>
              </w:rPr>
              <w:t>：</w:t>
            </w:r>
          </w:p>
          <w:p>
            <w:pPr>
              <w:pStyle w:val="null3"/>
              <w:ind w:firstLine="400"/>
              <w:jc w:val="left"/>
            </w:pPr>
            <w:r>
              <w:rPr>
                <w:rFonts w:ascii="仿宋_GB2312" w:hAnsi="仿宋_GB2312" w:cs="仿宋_GB2312" w:eastAsia="仿宋_GB2312"/>
              </w:rPr>
              <w:t>基于</w:t>
            </w:r>
            <w:r>
              <w:rPr>
                <w:rFonts w:ascii="仿宋_GB2312" w:hAnsi="仿宋_GB2312" w:cs="仿宋_GB2312" w:eastAsia="仿宋_GB2312"/>
              </w:rPr>
              <w:t>INTELLIMAX远程诊断系统早期故障发现判断、预先排除故障。</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b/>
              </w:rPr>
              <w:t>6.日常维护咨询和保养</w:t>
            </w:r>
            <w:r>
              <w:rPr>
                <w:rFonts w:ascii="仿宋_GB2312" w:hAnsi="仿宋_GB2312" w:cs="仿宋_GB2312" w:eastAsia="仿宋_GB2312"/>
                <w:b/>
              </w:rPr>
              <w:t>：</w:t>
            </w:r>
          </w:p>
          <w:p>
            <w:pPr>
              <w:pStyle w:val="null3"/>
              <w:ind w:firstLine="400"/>
              <w:jc w:val="left"/>
            </w:pPr>
            <w:r>
              <w:rPr>
                <w:rFonts w:ascii="仿宋_GB2312" w:hAnsi="仿宋_GB2312" w:cs="仿宋_GB2312" w:eastAsia="仿宋_GB2312"/>
              </w:rPr>
              <w:t>6.1 提供日常设备维修电话咨询；</w:t>
            </w:r>
          </w:p>
          <w:p>
            <w:pPr>
              <w:pStyle w:val="null3"/>
              <w:ind w:firstLine="400"/>
              <w:jc w:val="left"/>
            </w:pPr>
            <w:r>
              <w:rPr>
                <w:rFonts w:ascii="仿宋_GB2312" w:hAnsi="仿宋_GB2312" w:cs="仿宋_GB2312" w:eastAsia="仿宋_GB2312"/>
              </w:rPr>
              <w:t>6.2 提供每年1次现场保养。</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b/>
              </w:rPr>
              <w:t>7.加速器软件及功能改善</w:t>
            </w:r>
            <w:r>
              <w:rPr>
                <w:rFonts w:ascii="仿宋_GB2312" w:hAnsi="仿宋_GB2312" w:cs="仿宋_GB2312" w:eastAsia="仿宋_GB2312"/>
                <w:b/>
              </w:rPr>
              <w:t>：</w:t>
            </w:r>
          </w:p>
          <w:p>
            <w:pPr>
              <w:pStyle w:val="null3"/>
              <w:ind w:firstLine="400"/>
              <w:jc w:val="left"/>
            </w:pPr>
            <w:r>
              <w:rPr>
                <w:rFonts w:ascii="仿宋_GB2312" w:hAnsi="仿宋_GB2312" w:cs="仿宋_GB2312" w:eastAsia="仿宋_GB2312"/>
              </w:rPr>
              <w:t>7.1 提供加速器主机软件维护。</w:t>
            </w:r>
          </w:p>
          <w:p>
            <w:pPr>
              <w:pStyle w:val="null3"/>
            </w:pPr>
            <w:r>
              <w:rPr>
                <w:rFonts w:ascii="仿宋_GB2312" w:hAnsi="仿宋_GB2312" w:cs="仿宋_GB2312" w:eastAsia="仿宋_GB2312"/>
                <w:sz w:val="21"/>
              </w:rPr>
              <w:t>7.2 提供不断的安全性或功能性完善更新：FCO（Field Change Order）。</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满足项目实施需要，确保项目顺利实施。</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满足项目实施需要，确保项目顺利实施。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服务期三年（合同一年一签）。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自合同签订之日起，乙方开具符合甲方要求的全额发票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政府采购法》、《中华人民共和国民法典》中的相关条款执行。未按合同或谈判文件要求的或者质量不能满足采购人要求的，采购单位有权终止合同，甚至对供应商违约行为进行追究。供应商的谈判响应文件为签订正式书面合同书不可分割的部分，谈判响应应履行相应的责任。 解决争议的办法：合同执行中发生争议的，当事人双方应协商解决，协商达不成一致时，可向采购人所在地人民法院提请诉讼。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质保期：自验收合格之日起6个月。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财务状况报告：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 3、提供具有履行合同所必需的设备和专业技术能力的承诺。 4、参加政府采购活动前3年内，在经营活动中没有重大违法记录的书面声明。 5、税收缴纳证明：提供递交响应文件截止之日前一年内任意一个月的依法缴纳税收的完税证明，完税证明应有税务机关或代收机关的公章或业务专用章。依法免税或无须缴纳税收的供应商，应提供相应证明文件。 6、社会保障资金缴纳证明：提供谈判时间前一年内已缴存的至少一个月的社会保障资金缴存单据或社保机构开具的社会保险参保缴费情况证明，依法不需要缴纳社会保障资金的单位应提供相关证明材料。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法定代表人授权书（附法定代表人、被授权人身份证复印件及被授权人谈判截止日前一年内在本单位已缴存的至少一个月的社会保障资金凭证）；法定代表人直接参加谈判，须提供法定代表人身份证明。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 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其他资料.docx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谈判保证金缴纳凭证或担保机构出具的保函。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投标人按照招标文件要求上传谈判响应文件</w:t>
            </w:r>
          </w:p>
        </w:tc>
        <w:tc>
          <w:tcPr>
            <w:tcW w:type="dxa" w:w="1661"/>
          </w:tcPr>
          <w:p>
            <w:pPr>
              <w:pStyle w:val="null3"/>
            </w:pPr>
            <w:r>
              <w:rPr>
                <w:rFonts w:ascii="仿宋_GB2312" w:hAnsi="仿宋_GB2312" w:cs="仿宋_GB2312" w:eastAsia="仿宋_GB2312"/>
              </w:rPr>
              <w:t>报价一览表.docx 谈判方案说明.docx 中小企业声明函 报价表 资格证明文件.docx 响应文件封面 分项报价表.docx 残疾人福利性单位声明函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供应商投标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投标报价合理性的，评标委员会应当将其谈判响应文件作为无效处理。</w:t>
            </w:r>
          </w:p>
        </w:tc>
        <w:tc>
          <w:tcPr>
            <w:tcW w:type="dxa" w:w="1661"/>
          </w:tcPr>
          <w:p>
            <w:pPr>
              <w:pStyle w:val="null3"/>
            </w:pPr>
            <w:r>
              <w:rPr>
                <w:rFonts w:ascii="仿宋_GB2312" w:hAnsi="仿宋_GB2312" w:cs="仿宋_GB2312" w:eastAsia="仿宋_GB2312"/>
              </w:rPr>
              <w:t>报价一览表.docx 谈判方案说明.docx 中小企业声明函 报价表 资格证明文件.docx 响应文件封面 分项报价表.docx 残疾人福利性单位声明函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对谈判响应文件进行有效性和符合性审查，出现下列情况之一者，按无效文件处理： 1.谈判供应商未经过正常渠道获取谈判文件，或谈判供应商名称与获取谈判文件时登记的谈判供应商名称不符的； 2.提供的资格证明文件不符合要求； 3.谈判响应文件未按谈判文件要求签署、盖章的； 4.无谈判有效期或有效期达不到谈判文件要求的； 5.未按谈判文件要求提交谈判保证金的； 6.谈判供应商针对同一项目递交两份或多份内容不同的谈判响应文件，未书面声明哪一份是有效的或出现选择性报价的； 7.提供虚假证明 （包括第三方提供的虚假证明），开具虚假资质，出现虚假应答的，除按无效文件处理外，还将按照政府采购的有关规定进行处罚； 8.谈判响应文件含有采购人不能接受的附加条件的； 9.谈判总报价超过谈判文件公布的采购预算的，单价报价超过谈判文件公布的单价最高限价的； 10.法律、法规规定的其他无效情形。</w:t>
            </w:r>
          </w:p>
        </w:tc>
        <w:tc>
          <w:tcPr>
            <w:tcW w:type="dxa" w:w="1661"/>
          </w:tcPr>
          <w:p>
            <w:pPr>
              <w:pStyle w:val="null3"/>
            </w:pPr>
            <w:r>
              <w:rPr>
                <w:rFonts w:ascii="仿宋_GB2312" w:hAnsi="仿宋_GB2312" w:cs="仿宋_GB2312" w:eastAsia="仿宋_GB2312"/>
              </w:rPr>
              <w:t>报价一览表.docx 谈判方案说明.docx 中小企业声明函 报价表 资格证明文件.docx 响应文件封面 分项报价表.docx 残疾人福利性单位声明函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报价一览表.docx 谈判方案说明.docx 中小企业声明函 报价表 资格证明文件.docx 响应文件封面 分项报价表.docx 残疾人福利性单位声明函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法定代表人或被授权人的签字或盖章及公章符合谈判文件要求</w:t>
            </w:r>
          </w:p>
        </w:tc>
        <w:tc>
          <w:tcPr>
            <w:tcW w:type="dxa" w:w="1661"/>
          </w:tcPr>
          <w:p>
            <w:pPr>
              <w:pStyle w:val="null3"/>
            </w:pPr>
            <w:r>
              <w:rPr>
                <w:rFonts w:ascii="仿宋_GB2312" w:hAnsi="仿宋_GB2312" w:cs="仿宋_GB2312" w:eastAsia="仿宋_GB2312"/>
              </w:rPr>
              <w:t>报价一览表.docx 谈判方案说明.docx 中小企业声明函 报价表 资格证明文件.docx 响应文件封面 分项报价表.docx 残疾人福利性单位声明函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报价一览表.docx 谈判方案说明.docx 中小企业声明函 报价表 资格证明文件.docx 响应文件封面 分项报价表.docx 残疾人福利性单位声明函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对单一来源谈判文件响应程度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谈判方案说明.docx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质保期、服务期限</w:t>
            </w:r>
          </w:p>
        </w:tc>
        <w:tc>
          <w:tcPr>
            <w:tcW w:type="dxa" w:w="3322"/>
          </w:tcPr>
          <w:p>
            <w:pPr>
              <w:pStyle w:val="null3"/>
            </w:pPr>
            <w:r>
              <w:rPr>
                <w:rFonts w:ascii="仿宋_GB2312" w:hAnsi="仿宋_GB2312" w:cs="仿宋_GB2312" w:eastAsia="仿宋_GB2312"/>
              </w:rPr>
              <w:t>应满足谈判文件中要求的质保期、服务期限</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报价一览表.docx 谈判方案说明.docx 中小企业声明函 报价表 资格证明文件.docx 响应文件封面 分项报价表.docx 残疾人福利性单位声明函 标的清单 其他资料.docx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详见附件：谈判方案说明.docx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