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1B5D4">
      <w:pPr>
        <w:jc w:val="right"/>
        <w:rPr>
          <w:rFonts w:hint="eastAsia" w:ascii="宋体" w:hAnsi="宋体" w:eastAsia="宋体" w:cs="宋体"/>
          <w:b/>
          <w:color w:val="auto"/>
          <w:spacing w:val="-20"/>
          <w:sz w:val="32"/>
          <w:szCs w:val="32"/>
          <w:highlight w:val="none"/>
        </w:rPr>
      </w:pPr>
      <w:r>
        <w:rPr>
          <w:rFonts w:hint="eastAsia" w:ascii="宋体" w:hAnsi="宋体" w:eastAsia="宋体" w:cs="宋体"/>
          <w:b/>
          <w:bCs w:val="0"/>
          <w:color w:val="auto"/>
          <w:spacing w:val="-20"/>
          <w:sz w:val="32"/>
          <w:szCs w:val="32"/>
          <w:highlight w:val="none"/>
          <w:lang w:val="en-US" w:eastAsia="zh-CN"/>
        </w:rPr>
        <w:t>合同编号：</w:t>
      </w:r>
    </w:p>
    <w:p w14:paraId="665DC444">
      <w:pPr>
        <w:rPr>
          <w:rFonts w:hint="eastAsia" w:ascii="宋体" w:hAnsi="宋体" w:eastAsia="宋体" w:cs="宋体"/>
          <w:color w:val="auto"/>
          <w:sz w:val="52"/>
          <w:szCs w:val="52"/>
          <w:highlight w:val="none"/>
        </w:rPr>
      </w:pPr>
    </w:p>
    <w:p w14:paraId="38A51FA1">
      <w:pPr>
        <w:spacing w:line="36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lang w:val="en-US" w:eastAsia="zh-CN"/>
        </w:rPr>
        <w:t>采  购</w:t>
      </w:r>
      <w:r>
        <w:rPr>
          <w:rFonts w:hint="eastAsia" w:ascii="宋体" w:hAnsi="宋体" w:eastAsia="宋体" w:cs="宋体"/>
          <w:b/>
          <w:color w:val="auto"/>
          <w:sz w:val="48"/>
          <w:szCs w:val="48"/>
          <w:highlight w:val="none"/>
        </w:rPr>
        <w:t xml:space="preserve"> 合 同</w:t>
      </w:r>
    </w:p>
    <w:p w14:paraId="1CBB6EF1">
      <w:pPr>
        <w:spacing w:line="510" w:lineRule="atLeast"/>
        <w:rPr>
          <w:rFonts w:hint="eastAsia" w:ascii="宋体" w:hAnsi="宋体" w:eastAsia="宋体" w:cs="宋体"/>
          <w:b/>
          <w:color w:val="auto"/>
          <w:sz w:val="30"/>
          <w:szCs w:val="30"/>
          <w:highlight w:val="none"/>
        </w:rPr>
      </w:pPr>
    </w:p>
    <w:p w14:paraId="535FBA68">
      <w:pPr>
        <w:pStyle w:val="5"/>
        <w:rPr>
          <w:rFonts w:hint="eastAsia" w:ascii="宋体" w:hAnsi="宋体" w:eastAsia="宋体" w:cs="宋体"/>
          <w:b/>
          <w:color w:val="auto"/>
          <w:sz w:val="30"/>
          <w:szCs w:val="30"/>
          <w:highlight w:val="none"/>
        </w:rPr>
      </w:pPr>
    </w:p>
    <w:p w14:paraId="5E8E1C12">
      <w:pPr>
        <w:rPr>
          <w:rFonts w:hint="eastAsia" w:ascii="宋体" w:hAnsi="宋体" w:eastAsia="宋体" w:cs="宋体"/>
          <w:color w:val="auto"/>
          <w:highlight w:val="none"/>
        </w:rPr>
      </w:pPr>
    </w:p>
    <w:p w14:paraId="358C2838">
      <w:pPr>
        <w:pStyle w:val="5"/>
        <w:rPr>
          <w:rFonts w:hint="eastAsia" w:ascii="宋体" w:hAnsi="宋体" w:eastAsia="宋体" w:cs="宋体"/>
          <w:color w:val="auto"/>
          <w:highlight w:val="none"/>
        </w:rPr>
      </w:pPr>
    </w:p>
    <w:p w14:paraId="24E7B44C">
      <w:pPr>
        <w:spacing w:line="510" w:lineRule="atLeast"/>
        <w:jc w:val="center"/>
        <w:rPr>
          <w:rFonts w:hint="eastAsia" w:ascii="宋体" w:hAnsi="宋体" w:eastAsia="宋体" w:cs="宋体"/>
          <w:b/>
          <w:color w:val="auto"/>
          <w:sz w:val="30"/>
          <w:szCs w:val="30"/>
          <w:highlight w:val="none"/>
        </w:rPr>
      </w:pPr>
    </w:p>
    <w:p w14:paraId="75382936">
      <w:pPr>
        <w:pStyle w:val="5"/>
        <w:rPr>
          <w:rFonts w:hint="eastAsia" w:ascii="宋体" w:hAnsi="宋体" w:eastAsia="宋体" w:cs="宋体"/>
          <w:b/>
          <w:color w:val="auto"/>
          <w:sz w:val="30"/>
          <w:szCs w:val="30"/>
          <w:highlight w:val="none"/>
        </w:rPr>
      </w:pPr>
    </w:p>
    <w:p w14:paraId="17DFBB7E">
      <w:pPr>
        <w:spacing w:line="510" w:lineRule="atLeast"/>
        <w:jc w:val="both"/>
        <w:rPr>
          <w:rFonts w:hint="eastAsia" w:ascii="宋体" w:hAnsi="宋体" w:eastAsia="宋体" w:cs="宋体"/>
          <w:b/>
          <w:color w:val="auto"/>
          <w:sz w:val="30"/>
          <w:szCs w:val="30"/>
          <w:highlight w:val="none"/>
        </w:rPr>
      </w:pPr>
    </w:p>
    <w:p w14:paraId="449CB16B">
      <w:pPr>
        <w:pStyle w:val="5"/>
        <w:rPr>
          <w:rFonts w:hint="eastAsia" w:ascii="宋体" w:hAnsi="宋体" w:eastAsia="宋体" w:cs="宋体"/>
          <w:color w:val="auto"/>
          <w:highlight w:val="none"/>
        </w:rPr>
      </w:pPr>
    </w:p>
    <w:p w14:paraId="617A6327">
      <w:pPr>
        <w:spacing w:line="510" w:lineRule="atLeast"/>
        <w:rPr>
          <w:rFonts w:hint="eastAsia" w:ascii="宋体" w:hAnsi="宋体" w:eastAsia="宋体" w:cs="宋体"/>
          <w:b/>
          <w:color w:val="auto"/>
          <w:sz w:val="30"/>
          <w:szCs w:val="30"/>
          <w:highlight w:val="none"/>
        </w:rPr>
      </w:pPr>
    </w:p>
    <w:p w14:paraId="2C22345F">
      <w:pPr>
        <w:snapToGrid w:val="0"/>
        <w:spacing w:line="360" w:lineRule="auto"/>
        <w:ind w:firstLine="1325" w:firstLineChars="300"/>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甲  方：</w:t>
      </w:r>
      <w:r>
        <w:rPr>
          <w:rFonts w:hint="eastAsia" w:ascii="宋体" w:hAnsi="宋体" w:eastAsia="宋体" w:cs="宋体"/>
          <w:b/>
          <w:color w:val="auto"/>
          <w:sz w:val="44"/>
          <w:szCs w:val="44"/>
          <w:highlight w:val="none"/>
          <w:lang w:eastAsia="zh-CN"/>
        </w:rPr>
        <w:t>陕西省人民医院</w:t>
      </w:r>
    </w:p>
    <w:p w14:paraId="27A9E81E">
      <w:pPr>
        <w:tabs>
          <w:tab w:val="left" w:pos="480"/>
        </w:tabs>
        <w:snapToGrid w:val="0"/>
        <w:spacing w:line="360" w:lineRule="auto"/>
        <w:ind w:firstLine="1325" w:firstLineChars="30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乙  方：</w:t>
      </w:r>
    </w:p>
    <w:p w14:paraId="63852B1C">
      <w:pPr>
        <w:spacing w:line="510" w:lineRule="atLeast"/>
        <w:jc w:val="center"/>
        <w:rPr>
          <w:rFonts w:hint="eastAsia" w:ascii="宋体" w:hAnsi="宋体" w:eastAsia="宋体" w:cs="宋体"/>
          <w:b/>
          <w:color w:val="auto"/>
          <w:sz w:val="30"/>
          <w:szCs w:val="30"/>
          <w:highlight w:val="none"/>
        </w:rPr>
      </w:pPr>
    </w:p>
    <w:p w14:paraId="7C1171B8">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年</w:t>
      </w: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月</w:t>
      </w:r>
    </w:p>
    <w:p w14:paraId="1CA8852C">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中国  西安</w:t>
      </w:r>
    </w:p>
    <w:p w14:paraId="3558F3FA">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35238205">
      <w:pPr>
        <w:pStyle w:val="2"/>
        <w:numPr>
          <w:ilvl w:val="0"/>
          <w:numId w:val="0"/>
        </w:numPr>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合同条款及格式</w:t>
      </w:r>
    </w:p>
    <w:p w14:paraId="7918332A">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t>采购人（以下简称甲方）：</w:t>
      </w:r>
      <w:r>
        <w:rPr>
          <w:rFonts w:hint="eastAsia" w:ascii="宋体" w:hAnsi="宋体" w:eastAsia="宋体" w:cs="宋体"/>
          <w:b/>
          <w:bCs/>
          <w:color w:val="auto"/>
          <w:sz w:val="24"/>
          <w:szCs w:val="24"/>
          <w:highlight w:val="none"/>
          <w:u w:val="single"/>
          <w:lang w:val="en-US" w:eastAsia="zh-CN"/>
        </w:rPr>
        <w:t xml:space="preserve">                         </w:t>
      </w:r>
    </w:p>
    <w:p w14:paraId="5C06719D">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供应商（以下简称乙方）：</w:t>
      </w:r>
      <w:r>
        <w:rPr>
          <w:rFonts w:hint="eastAsia" w:ascii="宋体" w:hAnsi="宋体" w:eastAsia="宋体" w:cs="宋体"/>
          <w:b/>
          <w:bCs/>
          <w:color w:val="auto"/>
          <w:sz w:val="24"/>
          <w:szCs w:val="24"/>
          <w:highlight w:val="none"/>
          <w:u w:val="single"/>
          <w:lang w:val="zh-CN"/>
        </w:rPr>
        <w:t xml:space="preserve">                         </w:t>
      </w:r>
    </w:p>
    <w:p w14:paraId="200B0733">
      <w:pPr>
        <w:pStyle w:val="5"/>
        <w:rPr>
          <w:rFonts w:hint="eastAsia" w:ascii="宋体" w:hAnsi="宋体" w:eastAsia="宋体" w:cs="宋体"/>
          <w:lang w:val="en-US" w:eastAsia="zh-CN"/>
        </w:rPr>
      </w:pPr>
    </w:p>
    <w:p w14:paraId="6D6B54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主院区西院佳能640CT扫描机维修服务采购项目</w:t>
      </w:r>
      <w:r>
        <w:rPr>
          <w:rFonts w:hint="eastAsia" w:ascii="宋体" w:hAnsi="宋体" w:eastAsia="宋体" w:cs="宋体"/>
          <w:color w:val="auto"/>
          <w:sz w:val="24"/>
          <w:szCs w:val="24"/>
          <w:highlight w:val="none"/>
        </w:rPr>
        <w:t>，按照政府采购程序组织</w:t>
      </w:r>
      <w:r>
        <w:rPr>
          <w:rFonts w:hint="eastAsia" w:ascii="宋体" w:hAnsi="宋体" w:eastAsia="宋体" w:cs="宋体"/>
          <w:color w:val="auto"/>
          <w:sz w:val="24"/>
          <w:szCs w:val="24"/>
          <w:highlight w:val="none"/>
          <w:lang w:val="en-US" w:eastAsia="zh-CN"/>
        </w:rPr>
        <w:t>单一来源采购</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供应商。根据《中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法》《中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》及相关法律法规，甲、乙双方就</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主院区西院佳能640CT扫描机维修服务采购项目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事宜，经协商一致，</w:t>
      </w:r>
      <w:r>
        <w:rPr>
          <w:rFonts w:hint="eastAsia" w:ascii="宋体" w:hAnsi="宋体" w:eastAsia="宋体" w:cs="宋体"/>
          <w:color w:val="auto"/>
          <w:sz w:val="24"/>
          <w:szCs w:val="24"/>
          <w:highlight w:val="none"/>
          <w:lang w:val="en-US" w:eastAsia="zh-CN"/>
        </w:rPr>
        <w:t>招标代理机构确认，</w:t>
      </w:r>
      <w:r>
        <w:rPr>
          <w:rFonts w:hint="eastAsia" w:ascii="宋体" w:hAnsi="宋体" w:eastAsia="宋体" w:cs="宋体"/>
          <w:color w:val="auto"/>
          <w:sz w:val="24"/>
          <w:szCs w:val="24"/>
          <w:highlight w:val="none"/>
        </w:rPr>
        <w:t>达成如下协议：</w:t>
      </w:r>
    </w:p>
    <w:p w14:paraId="780CE31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合同内容</w:t>
      </w:r>
    </w:p>
    <w:p w14:paraId="583CE171">
      <w:pPr>
        <w:pStyle w:val="10"/>
        <w:spacing w:line="360" w:lineRule="auto"/>
        <w:ind w:firstLine="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主院区西院佳能640CT扫描机维修服务采购项目等，具体内容：</w:t>
      </w:r>
    </w:p>
    <w:tbl>
      <w:tblPr>
        <w:tblStyle w:val="8"/>
        <w:tblW w:w="0" w:type="auto"/>
        <w:tblInd w:w="0" w:type="dxa"/>
        <w:tblLayout w:type="fixed"/>
        <w:tblCellMar>
          <w:top w:w="0" w:type="dxa"/>
          <w:left w:w="28" w:type="dxa"/>
          <w:bottom w:w="0" w:type="dxa"/>
          <w:right w:w="28" w:type="dxa"/>
        </w:tblCellMar>
      </w:tblPr>
      <w:tblGrid>
        <w:gridCol w:w="770"/>
        <w:gridCol w:w="2226"/>
        <w:gridCol w:w="1707"/>
        <w:gridCol w:w="1000"/>
        <w:gridCol w:w="1082"/>
        <w:gridCol w:w="957"/>
        <w:gridCol w:w="999"/>
        <w:gridCol w:w="697"/>
      </w:tblGrid>
      <w:tr w14:paraId="515DEE9D">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547586D6">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26" w:type="dxa"/>
            <w:tcBorders>
              <w:top w:val="single" w:color="auto" w:sz="6" w:space="0"/>
              <w:left w:val="single" w:color="auto" w:sz="6" w:space="0"/>
              <w:bottom w:val="single" w:color="auto" w:sz="6" w:space="0"/>
              <w:right w:val="single" w:color="auto" w:sz="6" w:space="0"/>
            </w:tcBorders>
            <w:noWrap w:val="0"/>
            <w:vAlign w:val="center"/>
          </w:tcPr>
          <w:p w14:paraId="6498F823">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707" w:type="dxa"/>
            <w:tcBorders>
              <w:top w:val="single" w:color="auto" w:sz="6" w:space="0"/>
              <w:left w:val="single" w:color="auto" w:sz="6" w:space="0"/>
              <w:bottom w:val="single" w:color="auto" w:sz="6" w:space="0"/>
              <w:right w:val="single" w:color="auto" w:sz="6" w:space="0"/>
            </w:tcBorders>
            <w:noWrap w:val="0"/>
            <w:vAlign w:val="center"/>
          </w:tcPr>
          <w:p w14:paraId="0035B6A2">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00" w:type="dxa"/>
            <w:tcBorders>
              <w:top w:val="single" w:color="auto" w:sz="6" w:space="0"/>
              <w:left w:val="single" w:color="auto" w:sz="6" w:space="0"/>
              <w:bottom w:val="single" w:color="auto" w:sz="6" w:space="0"/>
              <w:right w:val="single" w:color="auto" w:sz="4" w:space="0"/>
            </w:tcBorders>
            <w:noWrap w:val="0"/>
            <w:vAlign w:val="center"/>
          </w:tcPr>
          <w:p w14:paraId="5F5301D4">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82" w:type="dxa"/>
            <w:tcBorders>
              <w:top w:val="single" w:color="auto" w:sz="6" w:space="0"/>
              <w:left w:val="single" w:color="auto" w:sz="4" w:space="0"/>
              <w:bottom w:val="single" w:color="auto" w:sz="6" w:space="0"/>
              <w:right w:val="single" w:color="auto" w:sz="4" w:space="0"/>
            </w:tcBorders>
            <w:noWrap w:val="0"/>
            <w:vAlign w:val="center"/>
          </w:tcPr>
          <w:p w14:paraId="2196C392">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7C91200D">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2CF19683">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p w14:paraId="71087406">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2DAEE6F4">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39DD53BF">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0035B622">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p>
        </w:tc>
        <w:tc>
          <w:tcPr>
            <w:tcW w:w="2226" w:type="dxa"/>
            <w:tcBorders>
              <w:top w:val="single" w:color="auto" w:sz="6" w:space="0"/>
              <w:left w:val="single" w:color="auto" w:sz="6" w:space="0"/>
              <w:bottom w:val="single" w:color="auto" w:sz="4" w:space="0"/>
              <w:right w:val="single" w:color="auto" w:sz="6" w:space="0"/>
            </w:tcBorders>
            <w:noWrap w:val="0"/>
            <w:vAlign w:val="center"/>
          </w:tcPr>
          <w:p w14:paraId="0E58E939">
            <w:pPr>
              <w:snapToGrid w:val="0"/>
              <w:spacing w:line="240" w:lineRule="auto"/>
              <w:jc w:val="center"/>
              <w:rPr>
                <w:rFonts w:hint="eastAsia" w:ascii="宋体" w:hAnsi="宋体" w:eastAsia="宋体" w:cs="宋体"/>
                <w:color w:val="auto"/>
                <w:sz w:val="22"/>
                <w:szCs w:val="22"/>
                <w:highlight w:val="none"/>
              </w:rPr>
            </w:pPr>
          </w:p>
        </w:tc>
        <w:tc>
          <w:tcPr>
            <w:tcW w:w="1707" w:type="dxa"/>
            <w:tcBorders>
              <w:top w:val="single" w:color="auto" w:sz="6" w:space="0"/>
              <w:left w:val="single" w:color="auto" w:sz="6" w:space="0"/>
              <w:bottom w:val="single" w:color="auto" w:sz="4" w:space="0"/>
              <w:right w:val="single" w:color="auto" w:sz="6" w:space="0"/>
            </w:tcBorders>
            <w:noWrap w:val="0"/>
            <w:vAlign w:val="center"/>
          </w:tcPr>
          <w:p w14:paraId="791FB8E9">
            <w:pPr>
              <w:snapToGrid w:val="0"/>
              <w:spacing w:line="240" w:lineRule="auto"/>
              <w:jc w:val="center"/>
              <w:rPr>
                <w:rFonts w:hint="eastAsia" w:ascii="宋体" w:hAnsi="宋体" w:eastAsia="宋体" w:cs="宋体"/>
                <w:color w:val="auto"/>
                <w:sz w:val="22"/>
                <w:szCs w:val="22"/>
                <w:highlight w:val="none"/>
              </w:rPr>
            </w:pPr>
          </w:p>
        </w:tc>
        <w:tc>
          <w:tcPr>
            <w:tcW w:w="1000" w:type="dxa"/>
            <w:tcBorders>
              <w:top w:val="single" w:color="auto" w:sz="6" w:space="0"/>
              <w:left w:val="single" w:color="auto" w:sz="6" w:space="0"/>
              <w:bottom w:val="single" w:color="auto" w:sz="6" w:space="0"/>
              <w:right w:val="single" w:color="auto" w:sz="4" w:space="0"/>
            </w:tcBorders>
            <w:noWrap w:val="0"/>
            <w:vAlign w:val="center"/>
          </w:tcPr>
          <w:p w14:paraId="4783927D">
            <w:pPr>
              <w:snapToGrid w:val="0"/>
              <w:spacing w:line="240" w:lineRule="auto"/>
              <w:jc w:val="center"/>
              <w:rPr>
                <w:rFonts w:hint="eastAsia" w:ascii="宋体" w:hAnsi="宋体" w:eastAsia="宋体" w:cs="宋体"/>
                <w:color w:val="auto"/>
                <w:sz w:val="22"/>
                <w:szCs w:val="22"/>
                <w:highlight w:val="none"/>
                <w:lang w:val="en-US" w:eastAsia="zh-CN"/>
              </w:rPr>
            </w:pPr>
          </w:p>
        </w:tc>
        <w:tc>
          <w:tcPr>
            <w:tcW w:w="1082" w:type="dxa"/>
            <w:tcBorders>
              <w:top w:val="single" w:color="auto" w:sz="6" w:space="0"/>
              <w:left w:val="single" w:color="auto" w:sz="4" w:space="0"/>
              <w:bottom w:val="single" w:color="auto" w:sz="6" w:space="0"/>
              <w:right w:val="single" w:color="auto" w:sz="4" w:space="0"/>
            </w:tcBorders>
            <w:noWrap w:val="0"/>
            <w:vAlign w:val="center"/>
          </w:tcPr>
          <w:p w14:paraId="18D0EFF2">
            <w:pPr>
              <w:snapToGrid w:val="0"/>
              <w:spacing w:line="240" w:lineRule="auto"/>
              <w:jc w:val="center"/>
              <w:rPr>
                <w:rFonts w:hint="eastAsia" w:ascii="宋体" w:hAnsi="宋体" w:eastAsia="宋体" w:cs="宋体"/>
                <w:color w:val="auto"/>
                <w:sz w:val="22"/>
                <w:szCs w:val="22"/>
                <w:highlight w:val="none"/>
                <w:lang w:val="en-US" w:eastAsia="zh-CN"/>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528525E0">
            <w:pPr>
              <w:snapToGrid w:val="0"/>
              <w:spacing w:line="240" w:lineRule="auto"/>
              <w:jc w:val="center"/>
              <w:rPr>
                <w:rFonts w:hint="eastAsia" w:ascii="宋体" w:hAnsi="宋体" w:eastAsia="宋体" w:cs="宋体"/>
                <w:color w:val="auto"/>
                <w:sz w:val="22"/>
                <w:szCs w:val="22"/>
                <w:highlight w:val="none"/>
                <w:lang w:val="en-US" w:eastAsia="zh-CN"/>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52019548">
            <w:pPr>
              <w:snapToGrid w:val="0"/>
              <w:spacing w:line="240" w:lineRule="auto"/>
              <w:jc w:val="center"/>
              <w:rPr>
                <w:rFonts w:hint="eastAsia" w:ascii="宋体" w:hAnsi="宋体" w:eastAsia="宋体" w:cs="宋体"/>
                <w:color w:val="auto"/>
                <w:sz w:val="22"/>
                <w:szCs w:val="22"/>
                <w:highlight w:val="none"/>
                <w:lang w:val="en-US" w:eastAsia="zh-CN"/>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21EF4F7B">
            <w:pPr>
              <w:snapToGrid w:val="0"/>
              <w:spacing w:line="24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无</w:t>
            </w:r>
          </w:p>
        </w:tc>
      </w:tr>
      <w:tr w14:paraId="01E57D94">
        <w:tblPrEx>
          <w:tblCellMar>
            <w:top w:w="0" w:type="dxa"/>
            <w:left w:w="28" w:type="dxa"/>
            <w:bottom w:w="0" w:type="dxa"/>
            <w:right w:w="28" w:type="dxa"/>
          </w:tblCellMar>
        </w:tblPrEx>
        <w:trPr>
          <w:trHeight w:val="429" w:hRule="atLeast"/>
        </w:trPr>
        <w:tc>
          <w:tcPr>
            <w:tcW w:w="2996" w:type="dxa"/>
            <w:gridSpan w:val="2"/>
            <w:tcBorders>
              <w:top w:val="single" w:color="auto" w:sz="4" w:space="0"/>
              <w:left w:val="single" w:color="auto" w:sz="6" w:space="0"/>
              <w:bottom w:val="single" w:color="auto" w:sz="4" w:space="0"/>
              <w:right w:val="single" w:color="auto" w:sz="6" w:space="0"/>
            </w:tcBorders>
            <w:noWrap w:val="0"/>
            <w:vAlign w:val="center"/>
          </w:tcPr>
          <w:p w14:paraId="1E42F05D">
            <w:pPr>
              <w:snapToGrid w:val="0"/>
              <w:spacing w:before="249" w:beforeLines="50" w:line="36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合  计</w:t>
            </w:r>
          </w:p>
        </w:tc>
        <w:tc>
          <w:tcPr>
            <w:tcW w:w="6442" w:type="dxa"/>
            <w:gridSpan w:val="6"/>
            <w:tcBorders>
              <w:top w:val="single" w:color="auto" w:sz="4" w:space="0"/>
              <w:left w:val="single" w:color="auto" w:sz="6" w:space="0"/>
              <w:bottom w:val="single" w:color="auto" w:sz="4" w:space="0"/>
              <w:right w:val="single" w:color="auto" w:sz="4" w:space="0"/>
            </w:tcBorders>
            <w:noWrap w:val="0"/>
            <w:vAlign w:val="center"/>
          </w:tcPr>
          <w:p w14:paraId="05580C7D">
            <w:pPr>
              <w:snapToGrid w:val="0"/>
              <w:spacing w:before="249" w:beforeLines="50" w:line="360" w:lineRule="auto"/>
              <w:rPr>
                <w:rFonts w:hint="eastAsia" w:ascii="宋体" w:hAnsi="宋体" w:eastAsia="宋体" w:cs="宋体"/>
                <w:b/>
                <w:color w:val="auto"/>
                <w:sz w:val="22"/>
                <w:szCs w:val="22"/>
                <w:highlight w:val="none"/>
                <w:u w:val="none"/>
                <w:lang w:val="en-US" w:eastAsia="zh-CN"/>
              </w:rPr>
            </w:pP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
                <w:color w:val="auto"/>
                <w:sz w:val="22"/>
                <w:szCs w:val="22"/>
                <w:highlight w:val="none"/>
                <w:u w:val="none"/>
                <w:lang w:val="en-US" w:eastAsia="zh-CN"/>
              </w:rPr>
              <w:t xml:space="preserve">    </w:t>
            </w:r>
          </w:p>
        </w:tc>
      </w:tr>
    </w:tbl>
    <w:p w14:paraId="581416A7">
      <w:pPr>
        <w:pStyle w:val="10"/>
        <w:spacing w:line="360" w:lineRule="auto"/>
        <w:ind w:left="0" w:leftChars="0" w:firstLine="0" w:firstLineChars="0"/>
        <w:jc w:val="left"/>
        <w:rPr>
          <w:rFonts w:hint="eastAsia" w:ascii="宋体" w:hAnsi="宋体" w:eastAsia="宋体" w:cs="宋体"/>
          <w:color w:val="auto"/>
          <w:kern w:val="2"/>
          <w:sz w:val="24"/>
          <w:szCs w:val="24"/>
          <w:highlight w:val="none"/>
          <w:lang w:val="en-US" w:eastAsia="zh-CN" w:bidi="ar-SA"/>
        </w:rPr>
      </w:pPr>
    </w:p>
    <w:p w14:paraId="52068E5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合同组成</w:t>
      </w:r>
    </w:p>
    <w:p w14:paraId="5CF221CC">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下述文件是构成本合同不可分割的部分:</w:t>
      </w:r>
    </w:p>
    <w:p w14:paraId="3D210BF2">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本合同条款及其所有附件。</w:t>
      </w:r>
    </w:p>
    <w:p w14:paraId="45A70B36">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w:t>
      </w:r>
      <w:r>
        <w:rPr>
          <w:rFonts w:hint="eastAsia" w:ascii="宋体" w:hAnsi="宋体" w:eastAsia="宋体" w:cs="宋体"/>
          <w:color w:val="auto"/>
          <w:sz w:val="24"/>
          <w:szCs w:val="24"/>
          <w:highlight w:val="none"/>
          <w:lang w:val="en-US" w:eastAsia="zh-CN"/>
        </w:rPr>
        <w:t>单一来源谈判文件</w:t>
      </w:r>
      <w:r>
        <w:rPr>
          <w:rFonts w:hint="eastAsia" w:ascii="宋体" w:hAnsi="宋体" w:eastAsia="宋体" w:cs="宋体"/>
          <w:color w:val="auto"/>
          <w:sz w:val="24"/>
          <w:szCs w:val="24"/>
          <w:highlight w:val="none"/>
        </w:rPr>
        <w:t>及澄清文件。</w:t>
      </w:r>
    </w:p>
    <w:p w14:paraId="14E6C2B6">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谈判响应文件</w:t>
      </w:r>
      <w:r>
        <w:rPr>
          <w:rFonts w:hint="eastAsia" w:ascii="宋体" w:hAnsi="宋体" w:eastAsia="宋体" w:cs="宋体"/>
          <w:color w:val="auto"/>
          <w:sz w:val="24"/>
          <w:szCs w:val="24"/>
          <w:highlight w:val="none"/>
        </w:rPr>
        <w:t>及质疑解答文件。</w:t>
      </w:r>
    </w:p>
    <w:p w14:paraId="6044F963">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019B5AC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双方与合同有关的往来信函、传真经双方法定代表人或其授权代表签字并加盖单位公章确认后视为本合同的组成部分。</w:t>
      </w:r>
    </w:p>
    <w:p w14:paraId="7FEBF3A1">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经双方法定代表人或其授权代表签字并加盖单位公章确认的补充协议。</w:t>
      </w:r>
    </w:p>
    <w:p w14:paraId="7D6A2F48">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及质疑解答文件内容违背或低于甲方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要求或任何可能导致影响当次采购目的的情形，均应当被视为乙方自动放弃</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及质疑解答文件中相应部分而同意以</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相应内容为准。如果乙方的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及质疑解答文件内容高于甲方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要求，则以乙方的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及质疑解答文件内容为准。如果合同条款与合同附件有矛盾之处，以合同条款内容为准。如果合同附件之间有矛盾之处，以有利于甲方的附件内容为准。</w:t>
      </w:r>
    </w:p>
    <w:p w14:paraId="247CCA99">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合同价款</w:t>
      </w:r>
    </w:p>
    <w:p w14:paraId="63077200">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合同总价款为人民币（大写）</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color w:val="auto"/>
          <w:sz w:val="24"/>
          <w:szCs w:val="24"/>
          <w:highlight w:val="none"/>
        </w:rPr>
        <w:t>。</w:t>
      </w:r>
    </w:p>
    <w:p w14:paraId="1068D239">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合同总价包括：货物费、运输费（含保险费）、安装调试费、检测验收费、培训费及其它费用。</w:t>
      </w:r>
    </w:p>
    <w:p w14:paraId="424E5C2D">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合同总价一次性包死，不受市场价格变化因素的影响。</w:t>
      </w:r>
    </w:p>
    <w:p w14:paraId="6EA6D6AB">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甲方不再另付任何费用。</w:t>
      </w:r>
    </w:p>
    <w:p w14:paraId="572B2756">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合同结算</w:t>
      </w:r>
    </w:p>
    <w:p w14:paraId="365B4B19">
      <w:pPr>
        <w:pStyle w:val="7"/>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420" w:firstLineChars="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自合同签订之日起，乙方开具符合甲方要求的全额发票，甲方在30日内付全款。即</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Cs/>
          <w:color w:val="auto"/>
          <w:sz w:val="24"/>
          <w:szCs w:val="24"/>
          <w:highlight w:val="none"/>
          <w:lang w:val="en-US" w:eastAsia="zh-CN"/>
        </w:rPr>
        <w:t>。</w:t>
      </w:r>
    </w:p>
    <w:p w14:paraId="70CD4B07">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支付方式：银行转帐。</w:t>
      </w:r>
    </w:p>
    <w:p w14:paraId="0DFF91A7">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结算方式：付款时，乙方将发票（按合同总价直开甲方）、持</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通知书、合同、发票及发票复印件、甲、乙双方设备验收单，与甲方办理资金结算。</w:t>
      </w:r>
    </w:p>
    <w:p w14:paraId="4E5F09BB">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服务地点及服务期限</w:t>
      </w:r>
    </w:p>
    <w:p w14:paraId="6E8BDF64">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服务地点：采购人指定地点。</w:t>
      </w:r>
    </w:p>
    <w:p w14:paraId="3E8DD573">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2E1A406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双方的权利和义务</w:t>
      </w:r>
    </w:p>
    <w:p w14:paraId="77B907C8">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甲方的权利和义务</w:t>
      </w:r>
    </w:p>
    <w:p w14:paraId="7793A8DD">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甲方权利：组织使用单位严格按照</w:t>
      </w:r>
      <w:r>
        <w:rPr>
          <w:rFonts w:hint="eastAsia" w:ascii="宋体" w:hAnsi="宋体" w:eastAsia="宋体" w:cs="宋体"/>
          <w:color w:val="auto"/>
          <w:sz w:val="24"/>
          <w:szCs w:val="24"/>
          <w:highlight w:val="none"/>
          <w:lang w:eastAsia="zh-CN"/>
        </w:rPr>
        <w:t>谈判文件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文件要求和标准验收货物。</w:t>
      </w:r>
    </w:p>
    <w:p w14:paraId="52B4EB9B">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甲方义务：积极配合乙方验收、安装、调试工作。</w:t>
      </w:r>
    </w:p>
    <w:p w14:paraId="716C7270">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乙方的权利和义务</w:t>
      </w:r>
    </w:p>
    <w:p w14:paraId="05325057">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14:paraId="7D42E0EC">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乙方义务：按照合同约定时间，按甲方指定地点提供货物，配合验收工作，并负责安装、调试、提供现场技术培训，保证使用人员正常操作设备的各种功能。</w:t>
      </w:r>
    </w:p>
    <w:p w14:paraId="06EFE5DF">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质量保证及索赔</w:t>
      </w:r>
    </w:p>
    <w:p w14:paraId="3AB96C82">
      <w:pPr>
        <w:numPr>
          <w:ilvl w:val="0"/>
          <w:numId w:val="0"/>
        </w:numPr>
        <w:tabs>
          <w:tab w:val="left" w:pos="480"/>
        </w:tabs>
        <w:snapToGrid w:val="0"/>
        <w:spacing w:line="360" w:lineRule="auto"/>
        <w:ind w:left="42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必须执行下列条款：</w:t>
      </w:r>
    </w:p>
    <w:p w14:paraId="007B15DD">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保证技术指标先进、质量性能可靠、进货渠道正常，配置合理，全面满足谈判要求。货物的质量技术标准按国家法律法规规定的标准，</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和乙方</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所需求的技术标准执行。进口产品保证是原产地生产的原装产品，否则按退货处理。</w:t>
      </w:r>
    </w:p>
    <w:p w14:paraId="2559879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应提供设备的技术白皮书，投标响应及参数数据应和设备的技术白皮书一致，在验收时发现不一致，合同自动终止，并追究其相应的法律责任。</w:t>
      </w:r>
    </w:p>
    <w:p w14:paraId="0C6A322D">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符合国家有关规范要求，确保达到最佳运行状态。</w:t>
      </w:r>
    </w:p>
    <w:p w14:paraId="446C741E">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具有良好的外观，适合安装场所的使用。</w:t>
      </w:r>
    </w:p>
    <w:p w14:paraId="0BCE918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rPr>
        <w:t>：自验收合格之日起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个月</w:t>
      </w:r>
      <w:r>
        <w:rPr>
          <w:rFonts w:hint="eastAsia" w:ascii="宋体" w:hAnsi="宋体" w:eastAsia="宋体" w:cs="宋体"/>
          <w:color w:val="auto"/>
          <w:sz w:val="24"/>
          <w:szCs w:val="24"/>
          <w:highlight w:val="none"/>
        </w:rPr>
        <w:t>。</w:t>
      </w:r>
    </w:p>
    <w:p w14:paraId="719F47F2">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不得对设备设置密码，否则承担发生的所有损失。</w:t>
      </w:r>
    </w:p>
    <w:p w14:paraId="5CE7C52A">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39F1DFE0">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在质保期内，如果货物的质量、规格、技术指标等与合同有任何一项不符，甲方应尽快以书面形式向乙方提出索赔。</w:t>
      </w:r>
    </w:p>
    <w:p w14:paraId="38FE9B95">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售后服务</w:t>
      </w:r>
    </w:p>
    <w:p w14:paraId="7AF57F27">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乙方所供货物提供以下售后服务：</w:t>
      </w:r>
    </w:p>
    <w:p w14:paraId="3DEA0123">
      <w:pPr>
        <w:tabs>
          <w:tab w:val="left" w:pos="480"/>
        </w:tabs>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w:t>
      </w:r>
    </w:p>
    <w:p w14:paraId="1B6CDE50">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发生质量问题，接到甲方通知后，应于当日派出专业的维修人员到现场进行检测维修，</w:t>
      </w:r>
      <w:r>
        <w:rPr>
          <w:rFonts w:hint="eastAsia" w:ascii="宋体" w:hAnsi="宋体" w:eastAsia="宋体" w:cs="宋体"/>
          <w:color w:val="auto"/>
          <w:sz w:val="24"/>
          <w:szCs w:val="24"/>
          <w:highlight w:val="none"/>
          <w:lang w:val="en-US" w:eastAsia="zh-CN"/>
        </w:rPr>
        <w:t>响应时间不超过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小时</w:t>
      </w:r>
      <w:r>
        <w:rPr>
          <w:rFonts w:hint="eastAsia" w:ascii="宋体" w:hAnsi="宋体" w:eastAsia="宋体" w:cs="宋体"/>
          <w:color w:val="auto"/>
          <w:sz w:val="24"/>
          <w:szCs w:val="24"/>
          <w:highlight w:val="none"/>
          <w:lang w:eastAsia="zh-CN"/>
        </w:rPr>
        <w:t>。发生的全部费用由乙方承担，若需送回生产厂，乙方承担往返费用;</w:t>
      </w:r>
    </w:p>
    <w:p w14:paraId="3510B41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每月派技术人员到现场走访，给予检查维护;</w:t>
      </w:r>
    </w:p>
    <w:p w14:paraId="042665C8">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排除故障的期限不得超过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小时。否则甲方有权指定第三方维修，维修费用由乙方承担。甲方可在货款和其他应付乙方款项中扣除。</w:t>
      </w:r>
    </w:p>
    <w:p w14:paraId="2AD9ECD4">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物品在</w:t>
      </w: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lang w:eastAsia="zh-CN"/>
        </w:rPr>
        <w:t>内，如果出现两次以上因质量问题引起的故障，乙方公司负责</w:t>
      </w:r>
      <w:r>
        <w:rPr>
          <w:rFonts w:hint="eastAsia" w:ascii="宋体" w:hAnsi="宋体" w:eastAsia="宋体" w:cs="宋体"/>
          <w:color w:val="auto"/>
          <w:sz w:val="24"/>
          <w:szCs w:val="24"/>
          <w:highlight w:val="none"/>
          <w:lang w:val="en-US" w:eastAsia="zh-CN"/>
        </w:rPr>
        <w:t>无偿</w:t>
      </w:r>
      <w:r>
        <w:rPr>
          <w:rFonts w:hint="eastAsia" w:ascii="宋体" w:hAnsi="宋体" w:eastAsia="宋体" w:cs="宋体"/>
          <w:color w:val="auto"/>
          <w:sz w:val="24"/>
          <w:szCs w:val="24"/>
          <w:highlight w:val="none"/>
          <w:lang w:eastAsia="zh-CN"/>
        </w:rPr>
        <w:t>更</w:t>
      </w:r>
      <w:r>
        <w:rPr>
          <w:rFonts w:hint="eastAsia" w:ascii="宋体" w:hAnsi="宋体" w:eastAsia="宋体" w:cs="宋体"/>
          <w:color w:val="auto"/>
          <w:sz w:val="24"/>
          <w:szCs w:val="24"/>
          <w:highlight w:val="none"/>
          <w:lang w:val="en-US" w:eastAsia="zh-CN"/>
        </w:rPr>
        <w:t>换同类新的物品。</w:t>
      </w:r>
    </w:p>
    <w:p w14:paraId="7E4416EE">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如因乙方物品质量问题，导致甲方损失，乙方应</w:t>
      </w:r>
      <w:r>
        <w:rPr>
          <w:rFonts w:hint="eastAsia" w:ascii="宋体" w:hAnsi="宋体" w:eastAsia="宋体" w:cs="宋体"/>
          <w:color w:val="auto"/>
          <w:sz w:val="24"/>
          <w:szCs w:val="24"/>
          <w:highlight w:val="none"/>
          <w:lang w:val="en-US" w:eastAsia="zh-CN"/>
        </w:rPr>
        <w:t>予</w:t>
      </w:r>
      <w:r>
        <w:rPr>
          <w:rFonts w:hint="eastAsia" w:ascii="宋体" w:hAnsi="宋体" w:eastAsia="宋体" w:cs="宋体"/>
          <w:color w:val="auto"/>
          <w:sz w:val="24"/>
          <w:szCs w:val="24"/>
          <w:highlight w:val="none"/>
          <w:lang w:eastAsia="zh-CN"/>
        </w:rPr>
        <w:t>以赔偿。</w:t>
      </w:r>
    </w:p>
    <w:p w14:paraId="135B9516">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乙方配备</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名专业的技术人员， 配合甲方进行产品验收、安装、调试、使用培训、维护培训等工作，并且全部费用计入产品售价。</w:t>
      </w:r>
    </w:p>
    <w:p w14:paraId="71957A0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针对于</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lang w:eastAsia="zh-CN"/>
        </w:rPr>
        <w:t>提供原厂免费维修(含人损)，提供7x24小时电话支持(包含法定节假日)，并提供专线电话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小时内响应解决，必要时提供替代产品。</w:t>
      </w:r>
    </w:p>
    <w:p w14:paraId="50602946">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若</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lang w:eastAsia="zh-CN"/>
        </w:rPr>
        <w:t>出现质量问题，经两次维修后仍无法正常使用，乙方无偿为甲方更换同型号、同规格的</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lang w:eastAsia="zh-CN"/>
        </w:rPr>
        <w:t>。</w:t>
      </w:r>
    </w:p>
    <w:p w14:paraId="6980DF39">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培训</w:t>
      </w:r>
    </w:p>
    <w:p w14:paraId="068EF7CA">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乙方现场免费为甲方工作人员进行培训，</w:t>
      </w:r>
      <w:r>
        <w:rPr>
          <w:rFonts w:hint="eastAsia" w:ascii="宋体" w:hAnsi="宋体" w:eastAsia="宋体" w:cs="宋体"/>
          <w:color w:val="auto"/>
          <w:sz w:val="24"/>
          <w:szCs w:val="24"/>
          <w:highlight w:val="none"/>
        </w:rPr>
        <w:t>受培训人员不限，以受培训人员熟练掌握技术并能开展工作为原则。</w:t>
      </w:r>
    </w:p>
    <w:p w14:paraId="054F2A9F">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验收</w:t>
      </w:r>
    </w:p>
    <w:p w14:paraId="7F49CBA8">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货物到达甲方指定地点后，甲方根据合同要求，甲方双方共同进行外观验收，确认产地、规格、型号和数量。</w:t>
      </w:r>
    </w:p>
    <w:p w14:paraId="4D54E69B">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货物安装、调试并正常运行后，由乙方进行自检，合格后，准备验收文件，并书面通知甲方。</w:t>
      </w:r>
    </w:p>
    <w:p w14:paraId="5EFBD064">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甲方确认乙方的自检内容后，组织乙方（必要时请有关专家）进行系统验收，验收合格后，填写设备验收单（一式四份）作为对货物的最终认可。</w:t>
      </w:r>
    </w:p>
    <w:p w14:paraId="7061B32A">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乙方向甲方提交货物实施过程中的所有资料，以便甲方日后管理和维护。</w:t>
      </w:r>
    </w:p>
    <w:p w14:paraId="1B622077">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68C8560A">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p>
    <w:p w14:paraId="1C208502">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本合同及附件文本；</w:t>
      </w:r>
    </w:p>
    <w:p w14:paraId="28DBA9A7">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国家相应的标准、规范。</w:t>
      </w:r>
    </w:p>
    <w:p w14:paraId="077AEF94">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w:t>
      </w:r>
    </w:p>
    <w:p w14:paraId="15747D09">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1．</w:t>
      </w:r>
      <w:r>
        <w:rPr>
          <w:rFonts w:hint="eastAsia" w:ascii="宋体" w:hAnsi="宋体" w:eastAsia="宋体" w:cs="宋体"/>
          <w:color w:val="auto"/>
          <w:sz w:val="24"/>
          <w:szCs w:val="24"/>
          <w:highlight w:val="none"/>
        </w:rPr>
        <w:t>在交货前，制造商应对设备的质量、规格、数量等进行准确而全面的检验，并出具合格证。</w:t>
      </w:r>
    </w:p>
    <w:p w14:paraId="4BB21089">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2．</w:t>
      </w:r>
      <w:r>
        <w:rPr>
          <w:rFonts w:hint="eastAsia" w:ascii="宋体" w:hAnsi="宋体" w:eastAsia="宋体" w:cs="宋体"/>
          <w:color w:val="auto"/>
          <w:sz w:val="24"/>
          <w:szCs w:val="24"/>
          <w:highlight w:val="none"/>
        </w:rPr>
        <w:t>设备到货后，由采购单位根据合同要求进行验收。验收完成后，填写政府采购设备验收单，以便结算。</w:t>
      </w:r>
    </w:p>
    <w:p w14:paraId="2ABAF696">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乙方履约延误</w:t>
      </w:r>
    </w:p>
    <w:p w14:paraId="2C87E8D0">
      <w:pPr>
        <w:keepNext w:val="0"/>
        <w:keepLines w:val="0"/>
        <w:pageBreakBefore w:val="0"/>
        <w:widowControl/>
        <w:numPr>
          <w:ilvl w:val="0"/>
          <w:numId w:val="0"/>
        </w:numPr>
        <w:tabs>
          <w:tab w:val="left" w:pos="480"/>
        </w:tabs>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如乙方事先未征得甲方同意并得到甲方的谅解而单方面延迟交货，将按违约终止合同。</w:t>
      </w:r>
    </w:p>
    <w:p w14:paraId="2B83945A">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273C16AB">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违约责任</w:t>
      </w:r>
    </w:p>
    <w:p w14:paraId="3B783A92">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按《政府采购法》、《</w:t>
      </w:r>
      <w:r>
        <w:rPr>
          <w:rFonts w:hint="eastAsia" w:ascii="宋体" w:hAnsi="宋体" w:eastAsia="宋体" w:cs="宋体"/>
          <w:b w:val="0"/>
          <w:bCs/>
          <w:color w:val="auto"/>
          <w:sz w:val="24"/>
          <w:szCs w:val="24"/>
          <w:highlight w:val="none"/>
          <w:lang w:val="en-US" w:eastAsia="zh-CN"/>
        </w:rPr>
        <w:t>民法典</w:t>
      </w:r>
      <w:r>
        <w:rPr>
          <w:rFonts w:hint="eastAsia" w:ascii="宋体" w:hAnsi="宋体" w:eastAsia="宋体" w:cs="宋体"/>
          <w:b w:val="0"/>
          <w:bCs/>
          <w:color w:val="auto"/>
          <w:sz w:val="24"/>
          <w:szCs w:val="24"/>
          <w:highlight w:val="none"/>
        </w:rPr>
        <w:t>》中的相关条款执行。</w:t>
      </w:r>
    </w:p>
    <w:p w14:paraId="1F82E35F">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未按合同要求提供货物或质量不能满足谈判技术要求，乙方必须无条件更换，提高技术，完善质量，否则，甲方会同</w:t>
      </w:r>
      <w:r>
        <w:rPr>
          <w:rFonts w:hint="eastAsia" w:ascii="宋体" w:hAnsi="宋体" w:eastAsia="宋体" w:cs="宋体"/>
          <w:b w:val="0"/>
          <w:bCs/>
          <w:color w:val="auto"/>
          <w:sz w:val="24"/>
          <w:szCs w:val="24"/>
          <w:highlight w:val="none"/>
          <w:lang w:eastAsia="zh-CN"/>
        </w:rPr>
        <w:t>招标代理机构</w:t>
      </w:r>
      <w:r>
        <w:rPr>
          <w:rFonts w:hint="eastAsia" w:ascii="宋体" w:hAnsi="宋体" w:eastAsia="宋体" w:cs="宋体"/>
          <w:b w:val="0"/>
          <w:bCs/>
          <w:color w:val="auto"/>
          <w:sz w:val="24"/>
          <w:szCs w:val="24"/>
          <w:highlight w:val="none"/>
        </w:rPr>
        <w:t>有权终止合同，并对乙方的违约行为报监管机构进行相应的处罚。</w:t>
      </w:r>
    </w:p>
    <w:p w14:paraId="7F5DF55E">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服务约定时间</w:t>
      </w:r>
      <w:r>
        <w:rPr>
          <w:rFonts w:hint="eastAsia" w:ascii="宋体" w:hAnsi="宋体" w:eastAsia="宋体" w:cs="宋体"/>
          <w:b w:val="0"/>
          <w:bCs/>
          <w:color w:val="auto"/>
          <w:sz w:val="24"/>
          <w:szCs w:val="24"/>
          <w:highlight w:val="none"/>
        </w:rPr>
        <w:t>每超过一天，扣除乙方合同总价款的</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w:t>
      </w:r>
    </w:p>
    <w:p w14:paraId="5DF77861">
      <w:pPr>
        <w:numPr>
          <w:ilvl w:val="0"/>
          <w:numId w:val="12"/>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b w:val="0"/>
          <w:bCs/>
          <w:color w:val="auto"/>
          <w:sz w:val="24"/>
          <w:szCs w:val="24"/>
          <w:highlight w:val="none"/>
        </w:rPr>
        <w:t>在乙方违约的情况下，甲方报告西安市政府采购管理处后，有权终止合同，并依法向乙方进行索赔。</w:t>
      </w:r>
    </w:p>
    <w:p w14:paraId="12E5082F">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合同争议解决的方式</w:t>
      </w:r>
    </w:p>
    <w:p w14:paraId="0A30289C">
      <w:pPr>
        <w:tabs>
          <w:tab w:val="left" w:pos="480"/>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本合同在履行过程中发生的争议，由甲、乙双方当事人协商解决，协商不成的按下列第二种方式解决：</w:t>
      </w:r>
    </w:p>
    <w:p w14:paraId="26F94BAB">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w:t>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u w:val="single"/>
        </w:rPr>
        <w:t>西安</w:t>
      </w:r>
      <w:r>
        <w:rPr>
          <w:rFonts w:hint="eastAsia" w:ascii="宋体" w:hAnsi="宋体" w:eastAsia="宋体" w:cs="宋体"/>
          <w:color w:val="auto"/>
          <w:sz w:val="24"/>
          <w:szCs w:val="24"/>
          <w:highlight w:val="none"/>
        </w:rPr>
        <w:t>仲裁委员会仲裁；</w:t>
      </w:r>
    </w:p>
    <w:p w14:paraId="001E25E4">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人民法院起诉。</w:t>
      </w:r>
    </w:p>
    <w:p w14:paraId="74C87F8E">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合同生效</w:t>
      </w:r>
    </w:p>
    <w:p w14:paraId="60F1CA2E">
      <w:pPr>
        <w:snapToGrid w:val="0"/>
        <w:spacing w:line="360" w:lineRule="auto"/>
        <w:ind w:firstLine="470" w:firstLineChars="196"/>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本合同一式</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陆</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val="0"/>
          <w:bCs/>
          <w:color w:val="auto"/>
          <w:sz w:val="24"/>
          <w:szCs w:val="24"/>
          <w:highlight w:val="none"/>
        </w:rPr>
        <w:t>份，甲方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 xml:space="preserve">贰 </w:t>
      </w:r>
      <w:r>
        <w:rPr>
          <w:rFonts w:hint="eastAsia" w:ascii="宋体" w:hAnsi="宋体" w:eastAsia="宋体" w:cs="宋体"/>
          <w:b w:val="0"/>
          <w:bCs/>
          <w:color w:val="auto"/>
          <w:sz w:val="24"/>
          <w:szCs w:val="24"/>
          <w:highlight w:val="none"/>
        </w:rPr>
        <w:t>份、乙方</w:t>
      </w:r>
      <w:r>
        <w:rPr>
          <w:rFonts w:hint="eastAsia" w:ascii="宋体" w:hAnsi="宋体" w:eastAsia="宋体" w:cs="宋体"/>
          <w:b/>
          <w:bCs w:val="0"/>
          <w:color w:val="auto"/>
          <w:sz w:val="24"/>
          <w:szCs w:val="24"/>
          <w:highlight w:val="none"/>
          <w:u w:val="single"/>
          <w:lang w:val="en-US" w:eastAsia="zh-CN"/>
        </w:rPr>
        <w:t xml:space="preserve"> 壹 </w:t>
      </w:r>
      <w:r>
        <w:rPr>
          <w:rFonts w:hint="eastAsia" w:ascii="宋体" w:hAnsi="宋体" w:eastAsia="宋体" w:cs="宋体"/>
          <w:b w:val="0"/>
          <w:bCs/>
          <w:color w:val="auto"/>
          <w:sz w:val="24"/>
          <w:szCs w:val="24"/>
          <w:highlight w:val="none"/>
        </w:rPr>
        <w:t>份、</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份，政府采购管理科备案</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rPr>
        <w:t>份，本合同甲、乙、</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rPr>
        <w:t>各方签字盖章后生效，合同执行完毕后，自动失效（合同的服务承诺则长期有效）。</w:t>
      </w:r>
    </w:p>
    <w:p w14:paraId="04079E75">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其他事项</w:t>
      </w:r>
    </w:p>
    <w:p w14:paraId="263D13E2">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作为部门集中采购代理机构对合同进行确认。</w:t>
      </w:r>
    </w:p>
    <w:p w14:paraId="12F35E7D">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政府采购管理处在合同的履行期间以及履行期后，可以随时检查项目的执行情况，对采购内容、标准进行调查核实，并对发现的问题进行处理。</w:t>
      </w:r>
    </w:p>
    <w:p w14:paraId="34C153B6">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、合同附件均成为合同不可分割的部分。</w:t>
      </w:r>
    </w:p>
    <w:p w14:paraId="6D8BA4D9">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合同未尽事宜，由甲、乙双方协商，经</w:t>
      </w: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确认后，作为合同补充，与原合同具有同等法律效力。</w:t>
      </w:r>
    </w:p>
    <w:p w14:paraId="3B99E8FF">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合同一经签订，不得擅自变更、中止或终止合同。对确需变更、调整或中止、终止合同的，应按规定履行相应的手续。</w:t>
      </w:r>
    </w:p>
    <w:p w14:paraId="1A31D9C3">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本合同按照中华人民共和国的现行法律进行解释。</w:t>
      </w:r>
    </w:p>
    <w:p w14:paraId="68729DB8">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不可抗力</w:t>
      </w:r>
    </w:p>
    <w:p w14:paraId="54884541">
      <w:pPr>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1414D69D">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监督和管理</w:t>
      </w:r>
    </w:p>
    <w:p w14:paraId="1D7F0786">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合同订立后，双方协商一致需变更合同实质性条款或订立补充合同的，应先征得政府采购监督部门同意并送其备案。</w:t>
      </w:r>
    </w:p>
    <w:p w14:paraId="5DB81D6E">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甲乙双方均应自觉配合有关监督管理部门对合同履行情况监督检查，如实反映情况，提供有关资料，否则将对有关单位、当事人按有关规定予以处罚。</w:t>
      </w:r>
    </w:p>
    <w:p w14:paraId="5655566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无效合同</w:t>
      </w:r>
    </w:p>
    <w:p w14:paraId="50DA8413">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甲乙双方如因违反政府采购法力相关法律法规的规定，被宣告合同无效的一切责任概由过错方自行承担。</w:t>
      </w:r>
    </w:p>
    <w:p w14:paraId="2083043D">
      <w:pPr>
        <w:pStyle w:val="6"/>
        <w:rPr>
          <w:rFonts w:hint="eastAsia"/>
          <w:lang w:eastAsia="zh-CN"/>
        </w:rPr>
      </w:pPr>
    </w:p>
    <w:p w14:paraId="6E257717">
      <w:pPr>
        <w:rPr>
          <w:rFonts w:hint="eastAsia" w:ascii="宋体" w:hAnsi="宋体" w:eastAsia="宋体" w:cs="宋体"/>
          <w:sz w:val="24"/>
          <w:szCs w:val="32"/>
          <w:lang w:eastAsia="zh-CN"/>
        </w:rPr>
      </w:pP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以下无正文</w:t>
      </w:r>
      <w:r>
        <w:rPr>
          <w:rFonts w:hint="eastAsia" w:ascii="宋体" w:hAnsi="宋体" w:eastAsia="宋体" w:cs="宋体"/>
          <w:sz w:val="24"/>
          <w:szCs w:val="32"/>
          <w:lang w:eastAsia="zh-CN"/>
        </w:rPr>
        <w:t>】</w:t>
      </w:r>
    </w:p>
    <w:p w14:paraId="3ADE208C">
      <w:pPr>
        <w:pStyle w:val="3"/>
        <w:rPr>
          <w:rFonts w:hint="eastAsia" w:ascii="宋体" w:hAnsi="宋体" w:eastAsia="宋体" w:cs="宋体"/>
          <w:color w:val="auto"/>
          <w:sz w:val="24"/>
          <w:szCs w:val="24"/>
          <w:highlight w:val="none"/>
        </w:rPr>
      </w:pPr>
    </w:p>
    <w:p w14:paraId="6DC1C2C0">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  方（法人公章）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  方（法人公章）</w:t>
      </w:r>
    </w:p>
    <w:p w14:paraId="34DB7AF7">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eastAsia="zh-CN"/>
        </w:rPr>
        <w:t>陕西省人民医院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单位名称：</w:t>
      </w:r>
    </w:p>
    <w:p w14:paraId="26DD0675">
      <w:pPr>
        <w:tabs>
          <w:tab w:val="left" w:pos="480"/>
        </w:tabs>
        <w:snapToGrid w:val="0"/>
        <w:spacing w:line="360" w:lineRule="auto"/>
        <w:ind w:left="5461" w:leftChars="-28"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址：西安市友谊西路256号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p>
    <w:p w14:paraId="6A071BD8">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法定代表人签字：</w:t>
      </w:r>
    </w:p>
    <w:p w14:paraId="421D8463">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代理人签字：</w:t>
      </w:r>
    </w:p>
    <w:p w14:paraId="038FC9FA">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项目主管部门负责人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联系电话：</w:t>
      </w:r>
    </w:p>
    <w:p w14:paraId="4AB374EC">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招采办负责人：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246F39B2">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帐  号： </w:t>
      </w:r>
    </w:p>
    <w:p w14:paraId="564CC04D">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            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13D43F41">
      <w:pPr>
        <w:tabs>
          <w:tab w:val="left" w:pos="480"/>
        </w:tabs>
        <w:snapToGrid w:val="0"/>
        <w:spacing w:line="360" w:lineRule="auto"/>
        <w:ind w:firstLine="480" w:firstLineChars="200"/>
        <w:rPr>
          <w:rFonts w:hint="eastAsia" w:ascii="宋体" w:hAnsi="宋体" w:eastAsia="宋体" w:cs="宋体"/>
          <w:color w:val="auto"/>
          <w:sz w:val="24"/>
          <w:szCs w:val="24"/>
          <w:highlight w:val="none"/>
        </w:rPr>
      </w:pPr>
    </w:p>
    <w:p w14:paraId="2F872051">
      <w:pPr>
        <w:pStyle w:val="5"/>
        <w:rPr>
          <w:rFonts w:hint="eastAsia" w:ascii="宋体" w:hAnsi="宋体" w:eastAsia="宋体" w:cs="宋体"/>
          <w:color w:val="auto"/>
          <w:sz w:val="24"/>
          <w:szCs w:val="24"/>
          <w:highlight w:val="none"/>
        </w:rPr>
      </w:pPr>
    </w:p>
    <w:p w14:paraId="4700C81B">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87B81DAE"/>
    <w:multiLevelType w:val="singleLevel"/>
    <w:tmpl w:val="87B81DAE"/>
    <w:lvl w:ilvl="0" w:tentative="0">
      <w:start w:val="1"/>
      <w:numFmt w:val="chineseCounting"/>
      <w:suff w:val="nothing"/>
      <w:lvlText w:val="（%1）"/>
      <w:lvlJc w:val="left"/>
      <w:pPr>
        <w:ind w:left="0" w:firstLine="420"/>
      </w:pPr>
      <w:rPr>
        <w:rFonts w:hint="eastAsia"/>
      </w:rPr>
    </w:lvl>
  </w:abstractNum>
  <w:abstractNum w:abstractNumId="3">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4">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5">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6">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7">
    <w:nsid w:val="0B7B33AF"/>
    <w:multiLevelType w:val="singleLevel"/>
    <w:tmpl w:val="0B7B33AF"/>
    <w:lvl w:ilvl="0" w:tentative="0">
      <w:start w:val="1"/>
      <w:numFmt w:val="chineseCounting"/>
      <w:suff w:val="nothing"/>
      <w:lvlText w:val="（%1）"/>
      <w:lvlJc w:val="left"/>
      <w:pPr>
        <w:ind w:left="0" w:firstLine="420"/>
      </w:pPr>
      <w:rPr>
        <w:rFonts w:hint="eastAsia"/>
      </w:rPr>
    </w:lvl>
  </w:abstractNum>
  <w:abstractNum w:abstractNumId="8">
    <w:nsid w:val="0F91EE49"/>
    <w:multiLevelType w:val="singleLevel"/>
    <w:tmpl w:val="0F91EE49"/>
    <w:lvl w:ilvl="0" w:tentative="0">
      <w:start w:val="1"/>
      <w:numFmt w:val="chineseCounting"/>
      <w:suff w:val="nothing"/>
      <w:lvlText w:val="%1、"/>
      <w:lvlJc w:val="left"/>
      <w:pPr>
        <w:ind w:left="0" w:firstLine="420"/>
      </w:pPr>
      <w:rPr>
        <w:rFonts w:hint="eastAsia"/>
      </w:rPr>
    </w:lvl>
  </w:abstractNum>
  <w:abstractNum w:abstractNumId="9">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10">
    <w:nsid w:val="40E7C84C"/>
    <w:multiLevelType w:val="singleLevel"/>
    <w:tmpl w:val="40E7C84C"/>
    <w:lvl w:ilvl="0" w:tentative="0">
      <w:start w:val="1"/>
      <w:numFmt w:val="chineseCounting"/>
      <w:suff w:val="nothing"/>
      <w:lvlText w:val="（%1）"/>
      <w:lvlJc w:val="left"/>
      <w:pPr>
        <w:ind w:left="0" w:firstLine="420"/>
      </w:pPr>
      <w:rPr>
        <w:rFonts w:hint="eastAsia"/>
      </w:rPr>
    </w:lvl>
  </w:abstractNum>
  <w:abstractNum w:abstractNumId="11">
    <w:nsid w:val="647DDFA6"/>
    <w:multiLevelType w:val="singleLevel"/>
    <w:tmpl w:val="647DDFA6"/>
    <w:lvl w:ilvl="0" w:tentative="0">
      <w:start w:val="1"/>
      <w:numFmt w:val="chineseCounting"/>
      <w:suff w:val="nothing"/>
      <w:lvlText w:val="（%1）"/>
      <w:lvlJc w:val="left"/>
      <w:pPr>
        <w:ind w:left="0" w:firstLine="420"/>
      </w:pPr>
      <w:rPr>
        <w:rFonts w:hint="eastAsia"/>
      </w:rPr>
    </w:lvl>
  </w:abstractNum>
  <w:abstractNum w:abstractNumId="12">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13">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4">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8"/>
  </w:num>
  <w:num w:numId="2">
    <w:abstractNumId w:val="3"/>
  </w:num>
  <w:num w:numId="3">
    <w:abstractNumId w:val="1"/>
  </w:num>
  <w:num w:numId="4">
    <w:abstractNumId w:val="5"/>
  </w:num>
  <w:num w:numId="5">
    <w:abstractNumId w:val="14"/>
  </w:num>
  <w:num w:numId="6">
    <w:abstractNumId w:val="7"/>
  </w:num>
  <w:num w:numId="7">
    <w:abstractNumId w:val="12"/>
  </w:num>
  <w:num w:numId="8">
    <w:abstractNumId w:val="11"/>
  </w:num>
  <w:num w:numId="9">
    <w:abstractNumId w:val="2"/>
  </w:num>
  <w:num w:numId="10">
    <w:abstractNumId w:val="10"/>
  </w:num>
  <w:num w:numId="11">
    <w:abstractNumId w:val="6"/>
  </w:num>
  <w:num w:numId="12">
    <w:abstractNumId w:val="9"/>
  </w:num>
  <w:num w:numId="13">
    <w:abstractNumId w:val="13"/>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B53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2025-12-02T11:13:15Z</dcterms:created>
  <dc:creator>Administrator</dc:creator>
  <cp:lastModifiedBy>华夏国际-招标部</cp:lastModifiedBy>
  <dcterms:modified xsi:type="dcterms:W3CDTF">2025-12-02T11:13:43Z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D0D005287B5D4035BFD373A309F566F3_12</vt:lpwstr>
  </property>
</Properties>
</file>