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版本号：ZBY202511620251128001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《陕西大卫生》杂志出版印刷服务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ZBY2025116</w:t>
      </w:r>
      <w:r>
        <w:br/>
      </w:r>
      <w:r>
        <w:br/>
      </w:r>
      <w:r>
        <w:br/>
      </w:r>
    </w:p>
    <w:p>
      <w:pPr>
        <w:pStyle w:val="null3"/>
        <w:jc w:val="center"/>
        <w:outlineLvl w:val="2"/>
      </w:pPr>
      <w:r>
        <w:rPr>
          <w:rFonts w:ascii="仿宋_GB2312" w:hAnsi="仿宋_GB2312" w:cs="仿宋_GB2312" w:eastAsia="仿宋_GB2312"/>
          <w:sz w:val="28"/>
          <w:b/>
        </w:rPr>
        <w:t>陕西省老年健康服务中心（陕西老年健康报）</w:t>
      </w:r>
    </w:p>
    <w:p>
      <w:pPr>
        <w:pStyle w:val="null3"/>
        <w:jc w:val="center"/>
        <w:outlineLvl w:val="2"/>
      </w:pPr>
      <w:r>
        <w:rPr>
          <w:rFonts w:ascii="仿宋_GB2312" w:hAnsi="仿宋_GB2312" w:cs="仿宋_GB2312" w:eastAsia="仿宋_GB2312"/>
          <w:sz w:val="28"/>
          <w:b/>
        </w:rPr>
        <w:t>西安中保研招标有限公司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西安中保研招标有限公司</w:t>
      </w:r>
      <w:r>
        <w:rPr>
          <w:rFonts w:ascii="仿宋_GB2312" w:hAnsi="仿宋_GB2312" w:cs="仿宋_GB2312" w:eastAsia="仿宋_GB2312"/>
        </w:rPr>
        <w:t>（以下简称“代理机构”）受</w:t>
      </w:r>
      <w:r>
        <w:rPr>
          <w:rFonts w:ascii="仿宋_GB2312" w:hAnsi="仿宋_GB2312" w:cs="仿宋_GB2312" w:eastAsia="仿宋_GB2312"/>
        </w:rPr>
        <w:t>陕西省老年健康服务中心（陕西老年健康报）</w:t>
      </w:r>
      <w:r>
        <w:rPr>
          <w:rFonts w:ascii="仿宋_GB2312" w:hAnsi="仿宋_GB2312" w:cs="仿宋_GB2312" w:eastAsia="仿宋_GB2312"/>
        </w:rPr>
        <w:t>委托，拟对</w:t>
      </w:r>
      <w:r>
        <w:rPr>
          <w:rFonts w:ascii="仿宋_GB2312" w:hAnsi="仿宋_GB2312" w:cs="仿宋_GB2312" w:eastAsia="仿宋_GB2312"/>
        </w:rPr>
        <w:t>《陕西大卫生》杂志出版印刷服务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ZBY2025116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《陕西大卫生》杂志出版印刷服务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根据采购人的工作需求，本项目拟选定一家供应商，为采购人提供《陕西大卫生》杂志的出版印刷服务。 服务标准需符合国家及行业验收标准。 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采购包1（《陕西大卫生》杂志出版印刷服务）：属于专门面向中小企业采购。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3、特定资格：供应商须提供有效的《印刷经营许可证》（经营范围包含出版物印刷）或《出版物经营许可证》;</w:t>
      </w:r>
    </w:p>
    <w:p>
      <w:pPr>
        <w:pStyle w:val="null3"/>
      </w:pPr>
      <w:r>
        <w:rPr>
          <w:rFonts w:ascii="仿宋_GB2312" w:hAnsi="仿宋_GB2312" w:cs="仿宋_GB2312" w:eastAsia="仿宋_GB2312"/>
        </w:rPr>
        <w:t>4、是否接受联合体投标：本项目不接受联合体投标。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陕西省老年健康服务中心（陕西老年健康报）</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陕西省西安市新城区西二路23号万景商务中心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029-87251110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西安中保研招标有限公司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陕西省西安市新城区金花新都汇写字楼A座7楼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李创、朱小翠、杨丹、孙桐、聂俊丽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13772150019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开户名称：西安中保研招标有限公司</w:t>
            </w:r>
          </w:p>
          <w:p>
            <w:pPr>
              <w:pStyle w:val="null3"/>
            </w:pPr>
            <w:r>
              <w:rPr>
                <w:rFonts w:ascii="仿宋_GB2312" w:hAnsi="仿宋_GB2312" w:cs="仿宋_GB2312" w:eastAsia="仿宋_GB2312"/>
              </w:rPr>
              <w:t>开户银行：中国建设银行西安电子城支行</w:t>
            </w:r>
          </w:p>
          <w:p>
            <w:pPr>
              <w:pStyle w:val="null3"/>
            </w:pPr>
            <w:r>
              <w:rPr>
                <w:rFonts w:ascii="仿宋_GB2312" w:hAnsi="仿宋_GB2312" w:cs="仿宋_GB2312" w:eastAsia="仿宋_GB2312"/>
              </w:rPr>
              <w:t>银行账号：6105 0192 3800 0951 6518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成交金额作为收费的计算基数，收取标准参照国家计委颁发的《招标代理服务收费管理暂行办法》（计价格[2002]1980号）和国家发展改革委员会办公厅颁发的《关于招标代理服务收费有关问题的通知》（发改办价格[2003] 857号）的收费标准收取。 注：招标代理服务费在缴付时需备注xxxx项目简称招标代理服务费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陕西省老年健康服务中心（陕西老年健康报）</w:t>
      </w:r>
      <w:r>
        <w:rPr>
          <w:rFonts w:ascii="仿宋_GB2312" w:hAnsi="仿宋_GB2312" w:cs="仿宋_GB2312" w:eastAsia="仿宋_GB2312"/>
        </w:rPr>
        <w:t>和</w:t>
      </w:r>
      <w:r>
        <w:rPr>
          <w:rFonts w:ascii="仿宋_GB2312" w:hAnsi="仿宋_GB2312" w:cs="仿宋_GB2312" w:eastAsia="仿宋_GB2312"/>
        </w:rPr>
        <w:t>西安中保研招标有限公司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陕西省老年健康服务中心（陕西老年健康报）</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西安中保研招标有限公司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陕西省老年健康服务中心（陕西老年健康报）</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西安中保研招标有限公司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联系人：文件复核办公室</w:t>
      </w:r>
    </w:p>
    <w:p>
      <w:pPr>
        <w:pStyle w:val="null3"/>
      </w:pPr>
      <w:r>
        <w:rPr>
          <w:rFonts w:ascii="仿宋_GB2312" w:hAnsi="仿宋_GB2312" w:cs="仿宋_GB2312" w:eastAsia="仿宋_GB2312"/>
        </w:rPr>
        <w:t>联系电话：13772150019</w:t>
      </w:r>
    </w:p>
    <w:p>
      <w:pPr>
        <w:pStyle w:val="null3"/>
      </w:pPr>
      <w:r>
        <w:rPr>
          <w:rFonts w:ascii="仿宋_GB2312" w:hAnsi="仿宋_GB2312" w:cs="仿宋_GB2312" w:eastAsia="仿宋_GB2312"/>
        </w:rPr>
        <w:t>地址：陕西省西安市新城区金花新都汇写字楼A座7楼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根据采购人的工作需求，本项目拟选定一家供应商，为采购人提供《陕西大卫生》杂志的出版印刷服务。 服务标准需符合国家及行业验收标准。 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《陕西大卫生》杂志出版印刷服务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标的名称：《陕西大卫生》杂志出版印刷服务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800"/>
            </w:pPr>
            <w:r>
              <w:rPr>
                <w:rFonts w:ascii="仿宋_GB2312" w:hAnsi="仿宋_GB2312" w:cs="仿宋_GB2312" w:eastAsia="仿宋_GB2312"/>
                <w:sz w:val="24"/>
              </w:rPr>
              <w:t>根据采购人的工作需求，本项目拟选定一家供应商，为采购人提供《陕</w:t>
            </w:r>
            <w:r>
              <w:rPr>
                <w:rFonts w:ascii="仿宋_GB2312" w:hAnsi="仿宋_GB2312" w:cs="仿宋_GB2312" w:eastAsia="仿宋_GB2312"/>
                <w:sz w:val="24"/>
              </w:rPr>
              <w:t>西大卫生》杂志的出版印刷服务。服务标准需符合国家及行业验收标准。</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、服务内容及技术要求</w:t>
            </w:r>
          </w:p>
          <w:p>
            <w:pPr>
              <w:pStyle w:val="null3"/>
            </w:pPr>
            <w:r>
              <w:rPr>
                <w:rFonts w:ascii="仿宋_GB2312" w:hAnsi="仿宋_GB2312" w:cs="仿宋_GB2312" w:eastAsia="仿宋_GB2312"/>
                <w:sz w:val="24"/>
              </w:rPr>
              <w:t>（一）服务内容</w:t>
            </w:r>
          </w:p>
          <w:p>
            <w:pPr>
              <w:pStyle w:val="null3"/>
              <w:ind w:firstLine="400"/>
            </w:pPr>
            <w:r>
              <w:rPr>
                <w:rFonts w:ascii="仿宋_GB2312" w:hAnsi="仿宋_GB2312" w:cs="仿宋_GB2312" w:eastAsia="仿宋_GB2312"/>
                <w:sz w:val="24"/>
              </w:rPr>
              <w:t>《陕西大卫生》杂志出版印刷服务。</w:t>
            </w:r>
          </w:p>
          <w:p>
            <w:pPr>
              <w:pStyle w:val="null3"/>
            </w:pPr>
            <w:r>
              <w:rPr>
                <w:rFonts w:ascii="仿宋_GB2312" w:hAnsi="仿宋_GB2312" w:cs="仿宋_GB2312" w:eastAsia="仿宋_GB2312"/>
                <w:sz w:val="24"/>
              </w:rPr>
              <w:t>（二）规格、数量及装订要求：</w:t>
            </w:r>
          </w:p>
          <w:p>
            <w:pPr>
              <w:pStyle w:val="null3"/>
              <w:ind w:firstLine="400"/>
            </w:pPr>
            <w:r>
              <w:rPr>
                <w:rFonts w:ascii="仿宋_GB2312" w:hAnsi="仿宋_GB2312" w:cs="仿宋_GB2312" w:eastAsia="仿宋_GB2312"/>
                <w:sz w:val="24"/>
              </w:rPr>
              <w:t>1.杂志规格：16K（210mm×285mm）；</w:t>
            </w:r>
          </w:p>
          <w:p>
            <w:pPr>
              <w:pStyle w:val="null3"/>
              <w:ind w:left="195" w:firstLine="200"/>
            </w:pPr>
            <w:r>
              <w:rPr>
                <w:rFonts w:ascii="仿宋_GB2312" w:hAnsi="仿宋_GB2312" w:cs="仿宋_GB2312" w:eastAsia="仿宋_GB2312"/>
                <w:sz w:val="24"/>
              </w:rPr>
              <w:t>2.数量：杂志印刷</w:t>
            </w:r>
            <w:r>
              <w:rPr>
                <w:rFonts w:ascii="仿宋_GB2312" w:hAnsi="仿宋_GB2312" w:cs="仿宋_GB2312" w:eastAsia="仿宋_GB2312"/>
                <w:sz w:val="24"/>
                <w:u w:val="single"/>
              </w:rPr>
              <w:t xml:space="preserve">约 210000 </w:t>
            </w:r>
            <w:r>
              <w:rPr>
                <w:rFonts w:ascii="仿宋_GB2312" w:hAnsi="仿宋_GB2312" w:cs="仿宋_GB2312" w:eastAsia="仿宋_GB2312"/>
                <w:sz w:val="24"/>
              </w:rPr>
              <w:t>份；</w:t>
            </w:r>
          </w:p>
          <w:p>
            <w:pPr>
              <w:pStyle w:val="null3"/>
              <w:ind w:left="195" w:firstLine="200"/>
            </w:pPr>
            <w:r>
              <w:rPr>
                <w:rFonts w:ascii="仿宋_GB2312" w:hAnsi="仿宋_GB2312" w:cs="仿宋_GB2312" w:eastAsia="仿宋_GB2312"/>
                <w:sz w:val="24"/>
              </w:rPr>
              <w:t>服务期限内，本采购包合同的据实结算总金额不得超出采购包预算，即人民币840,000.00元。数量为暂估数量，最终将依据成交单价按月据实结算。</w:t>
            </w:r>
          </w:p>
          <w:p>
            <w:pPr>
              <w:pStyle w:val="null3"/>
              <w:ind w:firstLine="400"/>
            </w:pPr>
            <w:r>
              <w:rPr>
                <w:rFonts w:ascii="仿宋_GB2312" w:hAnsi="仿宋_GB2312" w:cs="仿宋_GB2312" w:eastAsia="仿宋_GB2312"/>
                <w:sz w:val="24"/>
              </w:rPr>
              <w:t>3.装订方式：无线胶装；</w:t>
            </w:r>
          </w:p>
          <w:p>
            <w:pPr>
              <w:pStyle w:val="null3"/>
            </w:pPr>
            <w:r>
              <w:rPr>
                <w:rFonts w:ascii="仿宋_GB2312" w:hAnsi="仿宋_GB2312" w:cs="仿宋_GB2312" w:eastAsia="仿宋_GB2312"/>
                <w:sz w:val="24"/>
              </w:rPr>
              <w:t>（三）杂志封面用纸与要求</w:t>
            </w:r>
          </w:p>
          <w:p>
            <w:pPr>
              <w:pStyle w:val="null3"/>
              <w:ind w:firstLine="400"/>
            </w:pPr>
            <w:r>
              <w:rPr>
                <w:rFonts w:ascii="仿宋_GB2312" w:hAnsi="仿宋_GB2312" w:cs="仿宋_GB2312" w:eastAsia="仿宋_GB2312"/>
                <w:sz w:val="24"/>
              </w:rPr>
              <w:t>1、封面纸张名称：157g/㎡铜版纸，覆亮膜。</w:t>
            </w:r>
          </w:p>
          <w:p>
            <w:pPr>
              <w:pStyle w:val="null3"/>
              <w:ind w:firstLine="400"/>
            </w:pPr>
            <w:r>
              <w:rPr>
                <w:rFonts w:ascii="仿宋_GB2312" w:hAnsi="仿宋_GB2312" w:cs="仿宋_GB2312" w:eastAsia="仿宋_GB2312"/>
                <w:sz w:val="24"/>
              </w:rPr>
              <w:t xml:space="preserve">2、封面纸张技术要求：按照国家标准《GB/T 10335.1-2017》。  </w:t>
            </w:r>
          </w:p>
          <w:tbl>
            <w:tblPr>
              <w:tblInd w:type="dxa" w:w="225"/>
              <w:tblBorders>
                <w:top w:val="none" w:color="000000" w:sz="4"/>
                <w:left w:val="none" w:color="000000" w:sz="4"/>
                <w:bottom w:val="none" w:color="000000" w:sz="4"/>
                <w:right w:val="none" w:color="000000" w:sz="4"/>
                <w:insideH w:val="none"/>
                <w:insideV w:val="none"/>
              </w:tblBorders>
            </w:tblPr>
            <w:tblGrid>
              <w:gridCol w:w="879"/>
              <w:gridCol w:w="548"/>
              <w:gridCol w:w="953"/>
            </w:tblGrid>
            <w:tr>
              <w:tc>
                <w:tcPr>
                  <w:tcW w:type="dxa" w:w="238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杂志封面铜版纸技术需求</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铜版纸</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g/m</w:t>
                  </w:r>
                  <w:r>
                    <w:rPr>
                      <w:rFonts w:ascii="仿宋_GB2312" w:hAnsi="仿宋_GB2312" w:cs="仿宋_GB2312" w:eastAsia="仿宋_GB2312"/>
                      <w:sz w:val="24"/>
                      <w:vertAlign w:val="superscript"/>
                    </w:rPr>
                    <w:t>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157</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定量</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g/m</w:t>
                  </w:r>
                  <w:r>
                    <w:rPr>
                      <w:rFonts w:ascii="仿宋_GB2312" w:hAnsi="仿宋_GB2312" w:cs="仿宋_GB2312" w:eastAsia="仿宋_GB2312"/>
                      <w:sz w:val="24"/>
                      <w:vertAlign w:val="superscript"/>
                    </w:rPr>
                    <w:t>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157±3.0</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白度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92-94</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厚度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um</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157±5</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光泽度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粗糙度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μm</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≤1.30</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油墨吸收性</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18-26</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表面强度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m/s</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≥1.30</w:t>
                  </w:r>
                </w:p>
              </w:tc>
            </w:tr>
          </w:tbl>
          <w:p>
            <w:pPr>
              <w:pStyle w:val="null3"/>
              <w:ind w:firstLine="600"/>
              <w:jc w:val="both"/>
            </w:pPr>
            <w:r>
              <w:rPr>
                <w:rFonts w:ascii="仿宋_GB2312" w:hAnsi="仿宋_GB2312" w:cs="仿宋_GB2312" w:eastAsia="仿宋_GB2312"/>
                <w:sz w:val="24"/>
              </w:rPr>
              <w:t>3、杂志内文用纸与要求</w:t>
            </w:r>
          </w:p>
          <w:tbl>
            <w:tblPr>
              <w:tblInd w:type="dxa" w:w="210"/>
              <w:tblBorders>
                <w:top w:val="none" w:color="000000" w:sz="4"/>
                <w:left w:val="none" w:color="000000" w:sz="4"/>
                <w:bottom w:val="none" w:color="000000" w:sz="4"/>
                <w:right w:val="none" w:color="000000" w:sz="4"/>
                <w:insideH w:val="none"/>
                <w:insideV w:val="none"/>
              </w:tblBorders>
            </w:tblPr>
            <w:tblGrid>
              <w:gridCol w:w="1171"/>
              <w:gridCol w:w="835"/>
              <w:gridCol w:w="1171"/>
            </w:tblGrid>
            <w:tr>
              <w:tc>
                <w:tcPr>
                  <w:tcW w:type="dxa" w:w="317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杂志内文铜版纸技术需求</w:t>
                  </w:r>
                </w:p>
              </w:tc>
            </w:tr>
            <w:tr>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铜版纸</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g/m</w:t>
                  </w:r>
                  <w:r>
                    <w:rPr>
                      <w:rFonts w:ascii="仿宋_GB2312" w:hAnsi="仿宋_GB2312" w:cs="仿宋_GB2312" w:eastAsia="仿宋_GB2312"/>
                      <w:sz w:val="24"/>
                      <w:vertAlign w:val="superscript"/>
                    </w:rPr>
                    <w:t>2</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105</w:t>
                  </w:r>
                </w:p>
              </w:tc>
            </w:tr>
            <w:tr>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定量</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g/m</w:t>
                  </w:r>
                  <w:r>
                    <w:rPr>
                      <w:rFonts w:ascii="仿宋_GB2312" w:hAnsi="仿宋_GB2312" w:cs="仿宋_GB2312" w:eastAsia="仿宋_GB2312"/>
                      <w:sz w:val="24"/>
                      <w:vertAlign w:val="superscript"/>
                    </w:rPr>
                    <w:t>2</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105±3.0</w:t>
                  </w:r>
                </w:p>
              </w:tc>
            </w:tr>
            <w:tr>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白度</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92-94</w:t>
                  </w:r>
                </w:p>
              </w:tc>
            </w:tr>
            <w:tr>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厚度</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um</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105±5</w:t>
                  </w:r>
                </w:p>
              </w:tc>
            </w:tr>
            <w:tr>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光泽度</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r>
            <w:tr>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粗糙度</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μm</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≤1.30</w:t>
                  </w:r>
                </w:p>
              </w:tc>
            </w:tr>
            <w:tr>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油墨吸收性</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18-26</w:t>
                  </w:r>
                </w:p>
              </w:tc>
            </w:tr>
            <w:tr>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表面强度</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m/s</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≥1.30</w:t>
                  </w:r>
                </w:p>
              </w:tc>
            </w:tr>
          </w:tbl>
          <w:p>
            <w:pPr>
              <w:pStyle w:val="null3"/>
              <w:ind w:firstLine="400"/>
            </w:pPr>
            <w:r>
              <w:rPr>
                <w:rFonts w:ascii="仿宋_GB2312" w:hAnsi="仿宋_GB2312" w:cs="仿宋_GB2312" w:eastAsia="仿宋_GB2312"/>
                <w:sz w:val="24"/>
              </w:rPr>
              <w:t>4、印刷要求：封面、内文全部四色印刷。</w:t>
            </w:r>
          </w:p>
          <w:p>
            <w:pPr>
              <w:pStyle w:val="null3"/>
              <w:ind w:firstLine="400"/>
            </w:pPr>
            <w:r>
              <w:rPr>
                <w:rFonts w:ascii="仿宋_GB2312" w:hAnsi="仿宋_GB2312" w:cs="仿宋_GB2312" w:eastAsia="仿宋_GB2312"/>
                <w:sz w:val="24"/>
              </w:rPr>
              <w:t>5、页码：封面 4 页码，内文 64 页码。</w:t>
            </w:r>
          </w:p>
          <w:p>
            <w:pPr>
              <w:pStyle w:val="null3"/>
            </w:pPr>
            <w:r>
              <w:rPr>
                <w:rFonts w:ascii="仿宋_GB2312" w:hAnsi="仿宋_GB2312" w:cs="仿宋_GB2312" w:eastAsia="仿宋_GB2312"/>
                <w:sz w:val="24"/>
              </w:rPr>
              <w:t>（四）油墨质量要求</w:t>
            </w:r>
          </w:p>
          <w:p>
            <w:pPr>
              <w:pStyle w:val="null3"/>
              <w:ind w:firstLine="400"/>
            </w:pPr>
            <w:r>
              <w:rPr>
                <w:rFonts w:ascii="仿宋_GB2312" w:hAnsi="仿宋_GB2312" w:cs="仿宋_GB2312" w:eastAsia="仿宋_GB2312"/>
                <w:sz w:val="24"/>
              </w:rPr>
              <w:t>油墨质量应满足 HJ2542－2016《环境标志产品技术要求胶印油墨》</w:t>
            </w:r>
            <w:r>
              <w:rPr>
                <w:rFonts w:ascii="仿宋_GB2312" w:hAnsi="仿宋_GB2312" w:cs="仿宋_GB2312" w:eastAsia="仿宋_GB2312"/>
                <w:sz w:val="24"/>
              </w:rPr>
              <w:t>的相关要求；其他参考 CB／T22771－2008《印剧技术印刷品与印刷油墨用滤光氙弧灯评定耐光性》标淮。</w:t>
            </w:r>
          </w:p>
          <w:p>
            <w:pPr>
              <w:pStyle w:val="null3"/>
              <w:ind w:left="405"/>
            </w:pPr>
            <w:r>
              <w:rPr>
                <w:rFonts w:ascii="仿宋_GB2312" w:hAnsi="仿宋_GB2312" w:cs="仿宋_GB2312" w:eastAsia="仿宋_GB2312"/>
                <w:sz w:val="24"/>
                <w:b/>
              </w:rPr>
              <w:t>三、报价要求</w:t>
            </w:r>
          </w:p>
          <w:p>
            <w:pPr>
              <w:pStyle w:val="null3"/>
              <w:ind w:firstLine="400"/>
            </w:pPr>
            <w:r>
              <w:rPr>
                <w:rFonts w:ascii="仿宋_GB2312" w:hAnsi="仿宋_GB2312" w:cs="仿宋_GB2312" w:eastAsia="仿宋_GB2312"/>
                <w:sz w:val="24"/>
              </w:rPr>
              <w:t>各版单份杂志印刷报价不得超过该版杂志单份最高限价。供应商响应报价超过单份最高限价或者无报价响应的，响应无效，单份最高限价如下：</w:t>
            </w:r>
          </w:p>
          <w:tbl>
            <w:tblPr>
              <w:tblInd w:type="dxa" w:w="240"/>
              <w:tblBorders>
                <w:top w:val="none" w:color="000000" w:sz="4"/>
                <w:left w:val="none" w:color="000000" w:sz="4"/>
                <w:bottom w:val="none" w:color="000000" w:sz="4"/>
                <w:right w:val="none" w:color="000000" w:sz="4"/>
                <w:insideH w:val="none"/>
                <w:insideV w:val="none"/>
              </w:tblBorders>
            </w:tblPr>
            <w:tblGrid>
              <w:gridCol w:w="372"/>
              <w:gridCol w:w="1070"/>
              <w:gridCol w:w="1012"/>
              <w:gridCol w:w="718"/>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杂志类型</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★单份最高限价</w:t>
                  </w:r>
                </w:p>
              </w:tc>
              <w:tc>
                <w:tcPr>
                  <w:tcW w:type="dxa" w:w="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数量（份）</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《陕西大卫生》杂志</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4.0元/份</w:t>
                  </w: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210000</w:t>
                  </w:r>
                </w:p>
              </w:tc>
            </w:tr>
          </w:tbl>
          <w:p>
            <w:pPr>
              <w:pStyle w:val="null3"/>
              <w:ind w:firstLine="400"/>
            </w:pPr>
            <w:r>
              <w:rPr>
                <w:rFonts w:ascii="仿宋_GB2312" w:hAnsi="仿宋_GB2312" w:cs="仿宋_GB2312" w:eastAsia="仿宋_GB2312"/>
                <w:sz w:val="24"/>
              </w:rPr>
              <w:t>供应商的响应报价应包括完成本项目服务要求和内容的全部费用，供应商对报价的准确性负责，任何漏报、错报等风险均由供应商自行承担。</w:t>
            </w:r>
            <w:r>
              <w:br/>
            </w:r>
            <w:r>
              <w:rPr>
                <w:rFonts w:ascii="仿宋_GB2312" w:hAnsi="仿宋_GB2312" w:cs="仿宋_GB2312" w:eastAsia="仿宋_GB2312"/>
                <w:sz w:val="24"/>
                <w:b/>
              </w:rPr>
              <w:t>四、服务要求</w:t>
            </w:r>
          </w:p>
          <w:p>
            <w:pPr>
              <w:pStyle w:val="null3"/>
              <w:ind w:firstLine="200"/>
            </w:pPr>
            <w:r>
              <w:rPr>
                <w:rFonts w:ascii="仿宋_GB2312" w:hAnsi="仿宋_GB2312" w:cs="仿宋_GB2312" w:eastAsia="仿宋_GB2312"/>
                <w:sz w:val="24"/>
              </w:rPr>
              <w:t>1、人员要求</w:t>
            </w:r>
          </w:p>
          <w:p>
            <w:pPr>
              <w:pStyle w:val="null3"/>
              <w:ind w:firstLine="400"/>
            </w:pPr>
            <w:r>
              <w:rPr>
                <w:rFonts w:ascii="仿宋_GB2312" w:hAnsi="仿宋_GB2312" w:cs="仿宋_GB2312" w:eastAsia="仿宋_GB2312"/>
                <w:sz w:val="24"/>
              </w:rPr>
              <w:t>供应商应提供拟投入本项目团队人员，并安排专业人员上门服务，负责前期排版工作,服务人员能够满足本项目技术服务要求，服务人员应是供应商在职人员。</w:t>
            </w:r>
            <w:r>
              <w:br/>
            </w:r>
            <w:r>
              <w:rPr>
                <w:rFonts w:ascii="仿宋_GB2312" w:hAnsi="仿宋_GB2312" w:cs="仿宋_GB2312" w:eastAsia="仿宋_GB2312"/>
                <w:sz w:val="24"/>
              </w:rPr>
              <w:t xml:space="preserve">   2、质量保障</w:t>
            </w:r>
          </w:p>
          <w:p>
            <w:pPr>
              <w:pStyle w:val="null3"/>
            </w:pPr>
            <w:r>
              <w:rPr>
                <w:rFonts w:ascii="仿宋_GB2312" w:hAnsi="仿宋_GB2312" w:cs="仿宋_GB2312" w:eastAsia="仿宋_GB2312"/>
                <w:sz w:val="24"/>
              </w:rPr>
              <w:t xml:space="preserve">  （1）对于采购人每期杂志质量及数量必须全部保障，每期供货到货</w:t>
            </w:r>
            <w:r>
              <w:rPr>
                <w:rFonts w:ascii="仿宋_GB2312" w:hAnsi="仿宋_GB2312" w:cs="仿宋_GB2312" w:eastAsia="仿宋_GB2312"/>
                <w:sz w:val="24"/>
              </w:rPr>
              <w:t>率100%，保证采购人每期的杂志印刷数量无漏印，因供应商原因导致杂</w:t>
            </w:r>
            <w:r>
              <w:rPr>
                <w:rFonts w:ascii="仿宋_GB2312" w:hAnsi="仿宋_GB2312" w:cs="仿宋_GB2312" w:eastAsia="仿宋_GB2312"/>
                <w:sz w:val="24"/>
              </w:rPr>
              <w:t>志漏印的，供应商须在采购人要求的时间内补齐漏印杂志。</w:t>
            </w:r>
          </w:p>
          <w:p>
            <w:pPr>
              <w:pStyle w:val="null3"/>
              <w:ind w:firstLine="400"/>
            </w:pPr>
            <w:r>
              <w:rPr>
                <w:rFonts w:ascii="仿宋_GB2312" w:hAnsi="仿宋_GB2312" w:cs="仿宋_GB2312" w:eastAsia="仿宋_GB2312"/>
                <w:sz w:val="24"/>
              </w:rPr>
              <w:t>（2）出现杂志印刷质量有问题，如缺页、倒装、模糊不清、折页、开线、开胶、套印不清、杂志出现污损情况等，无论是否已作前期载体加工，供应商必须承诺在采购人要求的时间内一律无条件免费更换或补充。</w:t>
            </w:r>
          </w:p>
          <w:p>
            <w:pPr>
              <w:pStyle w:val="null3"/>
              <w:ind w:firstLine="400"/>
            </w:pPr>
            <w:r>
              <w:rPr>
                <w:rFonts w:ascii="仿宋_GB2312" w:hAnsi="仿宋_GB2312" w:cs="仿宋_GB2312" w:eastAsia="仿宋_GB2312"/>
                <w:sz w:val="24"/>
              </w:rPr>
              <w:t>（3）供应商应建立完善的质量控制体系，确保服务过程和成果符合国家、陕西省及行业相关规定，且内容真实、准确、完整。</w:t>
            </w:r>
          </w:p>
          <w:p>
            <w:pPr>
              <w:pStyle w:val="null3"/>
              <w:ind w:firstLine="200"/>
            </w:pPr>
            <w:r>
              <w:rPr>
                <w:rFonts w:ascii="仿宋_GB2312" w:hAnsi="仿宋_GB2312" w:cs="仿宋_GB2312" w:eastAsia="仿宋_GB2312"/>
                <w:sz w:val="24"/>
              </w:rPr>
              <w:t>3、配送要求</w:t>
            </w:r>
          </w:p>
          <w:p>
            <w:pPr>
              <w:pStyle w:val="null3"/>
              <w:ind w:firstLine="400"/>
            </w:pPr>
            <w:r>
              <w:rPr>
                <w:rFonts w:ascii="仿宋_GB2312" w:hAnsi="仿宋_GB2312" w:cs="仿宋_GB2312" w:eastAsia="仿宋_GB2312"/>
                <w:sz w:val="24"/>
              </w:rPr>
              <w:t xml:space="preserve">（1）供应商应在接到采购人通知后，按照采购人要求，在规定时间完成印刷并交付，印刷数量完全符合采购人需求，并将每期杂志按时配送至采购人指定地点。  </w:t>
            </w:r>
          </w:p>
          <w:p>
            <w:pPr>
              <w:pStyle w:val="null3"/>
              <w:ind w:firstLine="400"/>
            </w:pPr>
            <w:r>
              <w:rPr>
                <w:rFonts w:ascii="仿宋_GB2312" w:hAnsi="仿宋_GB2312" w:cs="仿宋_GB2312" w:eastAsia="仿宋_GB2312"/>
                <w:sz w:val="24"/>
              </w:rPr>
              <w:t>（2）供应商必须按照相关法规的要求，及时召回有重大质量隐患的产品，并给予妥善处理。</w:t>
            </w:r>
          </w:p>
          <w:p>
            <w:pPr>
              <w:pStyle w:val="null3"/>
              <w:ind w:firstLine="400"/>
            </w:pPr>
            <w:r>
              <w:rPr>
                <w:rFonts w:ascii="仿宋_GB2312" w:hAnsi="仿宋_GB2312" w:cs="仿宋_GB2312" w:eastAsia="仿宋_GB2312"/>
                <w:sz w:val="24"/>
              </w:rPr>
              <w:t>（3）供应商应确保在产品流通过程中，若发生产品本身的质量问题，供应商承担全部责任，并赔偿采购人由此而造成的一切经济损失。</w:t>
            </w:r>
          </w:p>
          <w:p>
            <w:pPr>
              <w:pStyle w:val="null3"/>
              <w:ind w:firstLine="200"/>
            </w:pPr>
            <w:r>
              <w:rPr>
                <w:rFonts w:ascii="仿宋_GB2312" w:hAnsi="仿宋_GB2312" w:cs="仿宋_GB2312" w:eastAsia="仿宋_GB2312"/>
                <w:sz w:val="24"/>
              </w:rPr>
              <w:t>4、售后服务要求</w:t>
            </w:r>
            <w:r>
              <w:br/>
            </w:r>
            <w:r>
              <w:rPr>
                <w:rFonts w:ascii="仿宋_GB2312" w:hAnsi="仿宋_GB2312" w:cs="仿宋_GB2312" w:eastAsia="仿宋_GB2312"/>
                <w:sz w:val="24"/>
              </w:rPr>
              <w:t xml:space="preserve">     供应商应制定合理可行的售后服务方案，对产品出现印刷、包装、排版等质量问题时供应商应在24小时内无条件更换，对特殊情况的出现</w:t>
            </w:r>
            <w:r>
              <w:rPr>
                <w:rFonts w:ascii="仿宋_GB2312" w:hAnsi="仿宋_GB2312" w:cs="仿宋_GB2312" w:eastAsia="仿宋_GB2312"/>
                <w:sz w:val="24"/>
              </w:rPr>
              <w:t>有24小时能够快速解决问题的能力。</w:t>
            </w:r>
            <w:r>
              <w:br/>
            </w:r>
            <w:r>
              <w:rPr>
                <w:rFonts w:ascii="仿宋_GB2312" w:hAnsi="仿宋_GB2312" w:cs="仿宋_GB2312" w:eastAsia="仿宋_GB2312"/>
                <w:sz w:val="24"/>
                <w:b/>
              </w:rPr>
              <w:t>五、需要由供应商提供的设计方案、解决方案或者组织方案</w:t>
            </w:r>
            <w:r>
              <w:br/>
            </w:r>
            <w:r>
              <w:rPr>
                <w:rFonts w:ascii="仿宋_GB2312" w:hAnsi="仿宋_GB2312" w:cs="仿宋_GB2312" w:eastAsia="仿宋_GB2312"/>
                <w:sz w:val="24"/>
              </w:rPr>
              <w:t xml:space="preserve">    1、重点难点分析及解决方案</w:t>
            </w:r>
          </w:p>
          <w:p>
            <w:pPr>
              <w:pStyle w:val="null3"/>
              <w:ind w:firstLine="400"/>
            </w:pPr>
            <w:r>
              <w:rPr>
                <w:rFonts w:ascii="仿宋_GB2312" w:hAnsi="仿宋_GB2312" w:cs="仿宋_GB2312" w:eastAsia="仿宋_GB2312"/>
                <w:sz w:val="24"/>
              </w:rPr>
              <w:t xml:space="preserve">供应商应针对本项目实际情况结合过往经验分析并指出项目实施过程中潜在的困难点、风险点，并能够给出妥善的解决方案。  </w:t>
            </w:r>
          </w:p>
          <w:p>
            <w:pPr>
              <w:pStyle w:val="null3"/>
              <w:ind w:firstLine="400"/>
            </w:pPr>
            <w:r>
              <w:rPr>
                <w:rFonts w:ascii="仿宋_GB2312" w:hAnsi="仿宋_GB2312" w:cs="仿宋_GB2312" w:eastAsia="仿宋_GB2312"/>
                <w:sz w:val="24"/>
              </w:rPr>
              <w:t>2、供应商需提供针对该项目的技术服务方案、实施方案、成果质量保障措施以及产品配送方案，以确保项目能够顺利实施。</w:t>
            </w:r>
          </w:p>
          <w:p>
            <w:pPr>
              <w:pStyle w:val="null3"/>
              <w:ind w:firstLine="400"/>
            </w:pPr>
            <w:r>
              <w:rPr>
                <w:rFonts w:ascii="仿宋_GB2312" w:hAnsi="仿宋_GB2312" w:cs="仿宋_GB2312" w:eastAsia="仿宋_GB2312"/>
                <w:sz w:val="24"/>
              </w:rPr>
              <w:t xml:space="preserve">3、供应商应提供生产原料（不限于油墨、铜版纸等）来源证明材料，确保印刷产品质量符合采购人要求及国家相关标准。  </w:t>
            </w:r>
          </w:p>
          <w:p>
            <w:pPr>
              <w:pStyle w:val="null3"/>
              <w:ind w:firstLine="400"/>
            </w:pPr>
            <w:r>
              <w:rPr>
                <w:rFonts w:ascii="仿宋_GB2312" w:hAnsi="仿宋_GB2312" w:cs="仿宋_GB2312" w:eastAsia="仿宋_GB2312"/>
                <w:sz w:val="24"/>
              </w:rPr>
              <w:t>4、应急保障组织方案</w:t>
            </w:r>
          </w:p>
          <w:p>
            <w:pPr>
              <w:pStyle w:val="null3"/>
              <w:ind w:firstLine="400"/>
            </w:pPr>
            <w:r>
              <w:rPr>
                <w:rFonts w:ascii="仿宋_GB2312" w:hAnsi="仿宋_GB2312" w:cs="仿宋_GB2312" w:eastAsia="仿宋_GB2312"/>
                <w:sz w:val="24"/>
              </w:rPr>
              <w:t>供应商应制定合理可行的应急保障组织方案，通过优化组织程序，提高不可预见事件的处理效率、加强控制保障等多种手段，确保项目顺利进行。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rPr>
              <w:t>5、保密措施解决方案</w:t>
            </w:r>
          </w:p>
          <w:p>
            <w:pPr>
              <w:pStyle w:val="null3"/>
              <w:ind w:firstLine="400"/>
            </w:pPr>
            <w:r>
              <w:rPr>
                <w:rFonts w:ascii="仿宋_GB2312" w:hAnsi="仿宋_GB2312" w:cs="仿宋_GB2312" w:eastAsia="仿宋_GB2312"/>
                <w:sz w:val="24"/>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rPr>
              <w:t>6、服务承诺</w:t>
            </w:r>
          </w:p>
          <w:p>
            <w:pPr>
              <w:pStyle w:val="null3"/>
            </w:pPr>
            <w:r>
              <w:rPr>
                <w:rFonts w:ascii="仿宋_GB2312" w:hAnsi="仿宋_GB2312" w:cs="仿宋_GB2312" w:eastAsia="仿宋_GB2312"/>
                <w:sz w:val="24"/>
              </w:rPr>
              <w:t xml:space="preserve">  供应商应根据本项目服务要求，针对本项目服务工作中的常见质量和服务问题进行梳理，供应商可根据自身情况对服务标准、过程管理、质量保证、人员培训、后续服务等方面作出有利于本项目开展的承诺。</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1、供应商应提供满足本项目服务需求的人员配置。 2、服务人员在工作期间发生任何经济赔偿、劳动纠纷、法律纠纷、安全事故、疾病等等有关问题均由成交人负责处理并承担相应责任，采购人不承担连带责任。</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符合国家相关标准、行业验收标准及磋商文件要求。 根据成交人提供的成果资料，由采购人自行组织验收。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（1）本采购包专门面向中小企业采购。服务全部由符合政策要求的中小企业承接。中小企业参加政府采购活动，应当出具政策规定的《中小企业声明函》。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供应商须提供有效的《印刷经营许可证》（经营范围包含出版物印刷）或《出版物经营许可证》;</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按磋商文件的规定缴纳保证金（如果有）</w:t>
            </w:r>
          </w:p>
        </w:tc>
        <w:tc>
          <w:tcPr>
            <w:tcW w:type="dxa" w:w="1661"/>
          </w:tcPr>
          <w:p>
            <w:pPr>
              <w:pStyle w:val="null3"/>
            </w:pPr>
            <w:r>
              <w:rPr>
                <w:rFonts w:ascii="仿宋_GB2312" w:hAnsi="仿宋_GB2312" w:cs="仿宋_GB2312" w:eastAsia="仿宋_GB2312"/>
              </w:rPr>
              <w:t>7-保证金缴纳凭证.docx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供应商提供针对本项目采购需求的理解，至少应包括：①工作重点；②关键点分析；③工作难点；④服务优势；⑤合理化建议。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根据供应商针对本项目提供详细的服务方案，至少应包括：①服务规范及标准；②采用的生产工艺；③拟采用的印刷技术规范；④拟采用的装订技术规范；⑤印刷制作方案； 包含但不限于上述全部内容，且方案详细，清晰有利于项目的得满分(如有缺陷或不足在此分数基础上进行扣分)，以上5项中： （1）每有1项缺失或内容无法满足项目需求的扣5分； （2）有1项中内容存在缺陷或不足（是指内容方案缺少关键点；对同一问题前后表述矛盾；存在逻辑漏洞、科学原理或常识错误；不利于本项目采购目标实现等任意一种情形）扣3分；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根据供应商针对本项目提供完整详细的实施方案，至少应包括： ①生产进度控制措施；②应急保障组织方案；③人员配备；④安全生产保障措施；⑤安全保密措施；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成品质量保障措施</w:t>
            </w:r>
          </w:p>
        </w:tc>
        <w:tc>
          <w:tcPr>
            <w:tcW w:type="dxa" w:w="2492"/>
          </w:tcPr>
          <w:p>
            <w:pPr>
              <w:pStyle w:val="null3"/>
            </w:pPr>
            <w:r>
              <w:rPr>
                <w:rFonts w:ascii="仿宋_GB2312" w:hAnsi="仿宋_GB2312" w:cs="仿宋_GB2312" w:eastAsia="仿宋_GB2312"/>
              </w:rPr>
              <w:t>根据供应商针对本项目提供完整详细的成品质量保障措施，至少应包括：①质量保障措施；②质量检查措施；③印刷出错的补救措施；④印刷设备、辅助设备配备；包含但不限于上述全部内容，且方案详细，清晰有利于项目的得满分(如有缺陷或不足在此分数基础上进行扣分)，以上4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提供针对项目提供产品配送服务方案， 至少应包含：①配送流程；②配送时效保证措施；③配送过程中发生紧急情况的补救措施。 包含但不限于上述全部内容，且方案详细，清晰有利于项目的得9分(如有缺陷或不足在此分数基础上进行扣分)。以上3项中：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原料来源</w:t>
            </w:r>
          </w:p>
        </w:tc>
        <w:tc>
          <w:tcPr>
            <w:tcW w:type="dxa" w:w="2492"/>
          </w:tcPr>
          <w:p>
            <w:pPr>
              <w:pStyle w:val="null3"/>
            </w:pPr>
            <w:r>
              <w:rPr>
                <w:rFonts w:ascii="仿宋_GB2312" w:hAnsi="仿宋_GB2312" w:cs="仿宋_GB2312" w:eastAsia="仿宋_GB2312"/>
              </w:rPr>
              <w:t>供应商需提供本项目所需原料（油墨、铜版纸）的合法正规来源渠道证明文件， 每提供一种原料的有效证明文件得1分，满分2分。 备注：证明材料包括但不限于制造商声明函、销售协议或代理协议或制造商授权等复印件，未提供或不满足要求不得分。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 并加以改进，确保服务工作的优质高效，得1分。 2.针对本项目服务工作中的常见质量和服务问题进行梳理，供应商可根据自身情况对服务标准、过程管理、后续服务等方面作出有利于本项目开展的承诺，每提供1条有效承诺，得0.5分，最高得1分。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供应商提供2022年1月1日至响应截止日期承接的类似项目业绩，每份合格业绩计2分，满分10分； 备注：供应商需提供业绩合同证明材料（至少应包含内容关键页、签订日期与签章页），提供不全或无法辨识的不得分。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报价采用低价优先法计算，即满足磋商文件要求且最后响应报价最低的报价为评审基准价，其价格分为满分。其他供应商的价格分统一按照下列公式计算：响应报价得分=（评审基准价/最后报价）×10。 若落实政府采购政策的，以调整后的价格参与评审。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