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D8EA6">
      <w:pPr>
        <w:spacing w:line="360" w:lineRule="auto"/>
        <w:ind w:left="1532" w:hanging="1532" w:hangingChars="545"/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商务技术偏离表</w:t>
      </w:r>
    </w:p>
    <w:p w14:paraId="6355F9F3">
      <w:pPr>
        <w:spacing w:line="360" w:lineRule="auto"/>
        <w:ind w:left="1532" w:hanging="1144" w:hangingChars="545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采购项目名称：{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请填写采购项目名称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}</w:t>
      </w:r>
    </w:p>
    <w:p w14:paraId="0BC0D78C">
      <w:pPr>
        <w:spacing w:line="360" w:lineRule="auto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采购项目编号：{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请填写采购项目编号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}</w:t>
      </w:r>
    </w:p>
    <w:p w14:paraId="2336F189">
      <w:pPr>
        <w:spacing w:line="360" w:lineRule="auto"/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采购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包号：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{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请填写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采购包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编号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 xml:space="preserve">}  </w:t>
      </w:r>
    </w:p>
    <w:tbl>
      <w:tblPr>
        <w:tblStyle w:val="8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2946"/>
        <w:gridCol w:w="2380"/>
        <w:gridCol w:w="1780"/>
        <w:gridCol w:w="1128"/>
      </w:tblGrid>
      <w:tr w14:paraId="07C60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965" w:type="dxa"/>
            <w:vAlign w:val="center"/>
          </w:tcPr>
          <w:p w14:paraId="7F957E33">
            <w:pPr>
              <w:pStyle w:val="4"/>
              <w:spacing w:line="400" w:lineRule="exact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  <w:t>序号</w:t>
            </w:r>
          </w:p>
        </w:tc>
        <w:tc>
          <w:tcPr>
            <w:tcW w:w="2946" w:type="dxa"/>
            <w:vAlign w:val="center"/>
          </w:tcPr>
          <w:p w14:paraId="1E49F045">
            <w:pPr>
              <w:spacing w:line="400" w:lineRule="exact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 xml:space="preserve"> 磋商项目技术、服务、商务及其他要求 </w:t>
            </w:r>
          </w:p>
          <w:p w14:paraId="189D6F95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（具体见第三章）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380" w:type="dxa"/>
            <w:vAlign w:val="center"/>
          </w:tcPr>
          <w:p w14:paraId="560ADEB6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/>
              </w:rPr>
              <w:t>响应</w:t>
            </w: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  <w:t>文件的响应</w:t>
            </w: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1780" w:type="dxa"/>
            <w:vAlign w:val="center"/>
          </w:tcPr>
          <w:p w14:paraId="4E0C0DEE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  <w:t>偏离程度</w:t>
            </w:r>
          </w:p>
        </w:tc>
        <w:tc>
          <w:tcPr>
            <w:tcW w:w="1128" w:type="dxa"/>
            <w:vAlign w:val="center"/>
          </w:tcPr>
          <w:p w14:paraId="31D27809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  <w:t>偏离说明</w:t>
            </w:r>
          </w:p>
        </w:tc>
      </w:tr>
      <w:tr w14:paraId="0D94E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65" w:type="dxa"/>
            <w:vAlign w:val="center"/>
          </w:tcPr>
          <w:p w14:paraId="5A9EC960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070B21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磋商文件的全部条款内容</w:t>
            </w:r>
          </w:p>
        </w:tc>
        <w:tc>
          <w:tcPr>
            <w:tcW w:w="2380" w:type="dxa"/>
            <w:vAlign w:val="center"/>
          </w:tcPr>
          <w:p w14:paraId="33FC88E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我单位完全响应</w:t>
            </w:r>
          </w:p>
        </w:tc>
        <w:tc>
          <w:tcPr>
            <w:tcW w:w="1780" w:type="dxa"/>
            <w:vAlign w:val="center"/>
          </w:tcPr>
          <w:p w14:paraId="4168302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无偏离</w:t>
            </w:r>
          </w:p>
        </w:tc>
        <w:tc>
          <w:tcPr>
            <w:tcW w:w="1128" w:type="dxa"/>
            <w:vAlign w:val="center"/>
          </w:tcPr>
          <w:p w14:paraId="2A39152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</w:tr>
      <w:tr w14:paraId="4C280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65" w:type="dxa"/>
            <w:vAlign w:val="center"/>
          </w:tcPr>
          <w:p w14:paraId="341358AC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318F204B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495D1F3A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2DB25F1A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2DD55C20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</w:tr>
      <w:tr w14:paraId="211C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65" w:type="dxa"/>
            <w:vAlign w:val="center"/>
          </w:tcPr>
          <w:p w14:paraId="647FE429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306EFBA4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03831DE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22FEC0A2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4953FC81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</w:tr>
      <w:tr w14:paraId="48C37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65" w:type="dxa"/>
            <w:vAlign w:val="center"/>
          </w:tcPr>
          <w:p w14:paraId="78ECBA87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16F2D280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D54C2E3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6F4899CC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36BF159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</w:tr>
      <w:tr w14:paraId="27035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65" w:type="dxa"/>
            <w:vAlign w:val="center"/>
          </w:tcPr>
          <w:p w14:paraId="770311C9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0D9A51F3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197702F3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43975A82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97DBB39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</w:tr>
    </w:tbl>
    <w:p w14:paraId="6A70B86F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我单位已仔细研读本项目磋商文件中的各项商务及技术条款要求，确认文件中不存在倾向性、歧视性、排他性条款，亦无以不合理条件对供应商实行差别待遇或歧视待遇的情形。我单位在此郑重承诺：已充分理解磋商文件的全部内容，完全同意并接受文件中的所有条款及要求，对此无任何异议。</w:t>
      </w:r>
    </w:p>
    <w:p w14:paraId="265118A1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</w:p>
    <w:p w14:paraId="6A4FECD8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填写说明：</w:t>
      </w:r>
    </w:p>
    <w:p w14:paraId="4A199A3B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1.若供应商未明确注明偏离，则默认视为完全响应。请依照既定格式填写并完成签字盖章。</w:t>
      </w:r>
    </w:p>
    <w:p w14:paraId="5EAE5400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2.在评分细则中，若对特定参数有明确的证明文件要求，应在偏离程度栏逐项选择“正偏离”、“负偏离”或“无偏离”中的一个选项进行明确标注，并附上相应的证明文件，填写证明材料对应页码。</w:t>
      </w:r>
      <w:bookmarkStart w:id="0" w:name="_GoBack"/>
      <w:bookmarkEnd w:id="0"/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否则，将不予认定，并将被视为负偏离。</w:t>
      </w:r>
    </w:p>
    <w:p w14:paraId="5228B5B9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3.格式仅供参考，可另附页进行说明。   </w:t>
      </w:r>
    </w:p>
    <w:p w14:paraId="0B6F09EF">
      <w:pPr>
        <w:spacing w:line="360" w:lineRule="auto"/>
        <w:ind w:firstLine="3795" w:firstLineChars="1800"/>
        <w:rPr>
          <w:rFonts w:hint="eastAsia" w:ascii="黑体" w:hAnsi="黑体" w:eastAsia="黑体" w:cs="黑体"/>
          <w:b/>
          <w:bCs/>
          <w:sz w:val="21"/>
          <w:szCs w:val="21"/>
        </w:rPr>
      </w:pPr>
    </w:p>
    <w:p w14:paraId="1F768081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供应商签章：（加盖公章）</w:t>
      </w:r>
    </w:p>
    <w:p w14:paraId="3B21A1E3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日期：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6CEE2D60"/>
    <w:rsid w:val="00006953"/>
    <w:rsid w:val="000E2E1D"/>
    <w:rsid w:val="095F34CA"/>
    <w:rsid w:val="09601376"/>
    <w:rsid w:val="0B3644BE"/>
    <w:rsid w:val="0B4214FA"/>
    <w:rsid w:val="0B6A06C6"/>
    <w:rsid w:val="14F43330"/>
    <w:rsid w:val="158E72E0"/>
    <w:rsid w:val="1A4E1919"/>
    <w:rsid w:val="1D303373"/>
    <w:rsid w:val="1F127DCB"/>
    <w:rsid w:val="1FFAA9F5"/>
    <w:rsid w:val="200A6837"/>
    <w:rsid w:val="2A0B2772"/>
    <w:rsid w:val="2C6000FF"/>
    <w:rsid w:val="2F7B4524"/>
    <w:rsid w:val="30395C43"/>
    <w:rsid w:val="37DF5275"/>
    <w:rsid w:val="3C4B6C93"/>
    <w:rsid w:val="41C2018E"/>
    <w:rsid w:val="422C30C3"/>
    <w:rsid w:val="45877724"/>
    <w:rsid w:val="47867568"/>
    <w:rsid w:val="49224285"/>
    <w:rsid w:val="4D495246"/>
    <w:rsid w:val="4FCF32BB"/>
    <w:rsid w:val="51DD247A"/>
    <w:rsid w:val="55AD1202"/>
    <w:rsid w:val="58FC6D00"/>
    <w:rsid w:val="5A0A4028"/>
    <w:rsid w:val="5B9A34D7"/>
    <w:rsid w:val="606C66BB"/>
    <w:rsid w:val="63DD630A"/>
    <w:rsid w:val="6CEE2D60"/>
    <w:rsid w:val="6EF410D7"/>
    <w:rsid w:val="77CD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next w:val="1"/>
    <w:link w:val="12"/>
    <w:autoRedefine/>
    <w:unhideWhenUsed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0"/>
    <w:pPr>
      <w:spacing w:after="120"/>
    </w:pPr>
  </w:style>
  <w:style w:type="paragraph" w:styleId="4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5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paragraph" w:styleId="7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2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424</Words>
  <Characters>427</Characters>
  <Lines>1</Lines>
  <Paragraphs>1</Paragraphs>
  <TotalTime>0</TotalTime>
  <ScaleCrop>false</ScaleCrop>
  <LinksUpToDate>false</LinksUpToDate>
  <CharactersWithSpaces>447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yd</cp:lastModifiedBy>
  <cp:lastPrinted>2024-05-28T07:54:00Z</cp:lastPrinted>
  <dcterms:modified xsi:type="dcterms:W3CDTF">2025-11-20T07:06:24Z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B624289D3F2946A7BD1881823760A14C_12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