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版本号：GZH-ZB-20251007720251104001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庄里监狱监墙隔离网更换工程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GZH-ZB-202510077</w:t>
      </w:r>
      <w:r>
        <w:br/>
      </w:r>
      <w:r>
        <w:br/>
      </w:r>
      <w:r>
        <w:br/>
      </w:r>
    </w:p>
    <w:p>
      <w:pPr>
        <w:pStyle w:val="null3"/>
        <w:jc w:val="center"/>
        <w:outlineLvl w:val="2"/>
      </w:pPr>
      <w:r>
        <w:rPr>
          <w:rFonts w:ascii="仿宋_GB2312" w:hAnsi="仿宋_GB2312" w:cs="仿宋_GB2312" w:eastAsia="仿宋_GB2312"/>
          <w:sz w:val="28"/>
          <w:b/>
        </w:rPr>
        <w:t>陕西省庄里监狱</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陕西省庄里监狱</w:t>
      </w:r>
      <w:r>
        <w:rPr>
          <w:rFonts w:ascii="仿宋_GB2312" w:hAnsi="仿宋_GB2312" w:cs="仿宋_GB2312" w:eastAsia="仿宋_GB2312"/>
        </w:rPr>
        <w:t>委托，拟对</w:t>
      </w:r>
      <w:r>
        <w:rPr>
          <w:rFonts w:ascii="仿宋_GB2312" w:hAnsi="仿宋_GB2312" w:cs="仿宋_GB2312" w:eastAsia="仿宋_GB2312"/>
        </w:rPr>
        <w:t>庄里监狱监墙隔离网更换工程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GZH-ZB-202510077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庄里监狱监墙隔离网更换工程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将监墙内东西两侧金属隔离网更换为高密金属网(4米高)，顶部加装不锈钢蛇腹形刀刺网，长度470米；新增监墙西侧、北侧、东侧北段巡道外侧2.5米高金属隔离网(含不锈钢蛇腹形刀刺网)，长度600米；监墙内侧原有金属离网拆除及垃圾外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采购包1（庄里监狱监墙隔离网更换工程）：属于专门面向中小企业采购。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1、企业资质：供应商具备建筑工程施工总承包资质三级及以上资质，且具有有效的安全生产许可证。</w:t>
      </w:r>
    </w:p>
    <w:p>
      <w:pPr>
        <w:pStyle w:val="null3"/>
      </w:pPr>
      <w:r>
        <w:rPr>
          <w:rFonts w:ascii="仿宋_GB2312" w:hAnsi="仿宋_GB2312" w:cs="仿宋_GB2312" w:eastAsia="仿宋_GB2312"/>
        </w:rPr>
        <w:t>2、拟派项目负责人资质和专业要求：具有建筑工程专业国家注册建造师二级以上（含）资格，并具有省级及以上建设行政主管部门颁发的有效的安全生产考核证书，未担任其他在建工程的项目经理。</w:t>
      </w:r>
    </w:p>
    <w:p>
      <w:pPr>
        <w:pStyle w:val="null3"/>
      </w:pPr>
      <w:r>
        <w:rPr>
          <w:rFonts w:ascii="仿宋_GB2312" w:hAnsi="仿宋_GB2312" w:cs="仿宋_GB2312" w:eastAsia="仿宋_GB2312"/>
        </w:rPr>
        <w:t>3、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4、财务状况报告：①可提供2024年度经审计的财务报告（包含审计报告和审计报告中所涉及的财务报表和报表附注），②可提供截至响应文件提交截止日一年内银行出具的资信证明（以上两种形式的资料提供任何一种即可）。</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7、书面声明：提供具有履行本合同所必需的设备和专业技术能力的书面声明。</w:t>
      </w:r>
    </w:p>
    <w:p>
      <w:pPr>
        <w:pStyle w:val="null3"/>
      </w:pPr>
      <w:r>
        <w:rPr>
          <w:rFonts w:ascii="仿宋_GB2312" w:hAnsi="仿宋_GB2312" w:cs="仿宋_GB2312" w:eastAsia="仿宋_GB2312"/>
        </w:rPr>
        <w:t>8、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9、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陕西省庄里监狱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陕西省渭南市富平县庄里镇建材路3号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弥主任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0913-8621082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水泥、商品混凝土</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开户名称：陕西国中恒工程项目管理有限公司</w:t>
            </w:r>
          </w:p>
          <w:p>
            <w:pPr>
              <w:pStyle w:val="null3"/>
            </w:pPr>
            <w:r>
              <w:rPr>
                <w:rFonts w:ascii="仿宋_GB2312" w:hAnsi="仿宋_GB2312" w:cs="仿宋_GB2312" w:eastAsia="仿宋_GB2312"/>
              </w:rPr>
              <w:t>开户银行：中国建设银行股份有限公司西安莲湖路支行</w:t>
            </w:r>
          </w:p>
          <w:p>
            <w:pPr>
              <w:pStyle w:val="null3"/>
            </w:pPr>
            <w:r>
              <w:rPr>
                <w:rFonts w:ascii="仿宋_GB2312" w:hAnsi="仿宋_GB2312" w:cs="仿宋_GB2312" w:eastAsia="仿宋_GB2312"/>
              </w:rPr>
              <w:t>银行账号：61050171110000001138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代理服务费收费标准：本次代理服务包括采购代理服务及工程量清单编制两个部分，其收费方式及标准如下： 采购代理服务费根据《国家发展改革委关于降低部分建设项目收费标准规范收费行为等有关问题的通知》(发改价格[2011]534号)标准计取。工程量清单编制费根据陕西省物价局、陕西省住房和城乡建设厅关于我省工程造价咨询服务收费标准有关问题的通知（陕价行发〔2014〕88号）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陕西省庄里监狱</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陕西省庄里监狱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陕西省庄里监狱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本工程施工图纸、采购文件、中标供应商响应文件及合同签订时国家及行业现行的标准和技术规范。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999,776.91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监墙隔离网</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标的名称：监墙隔离网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一、工程概况</w:t>
            </w:r>
          </w:p>
          <w:p>
            <w:pPr>
              <w:pStyle w:val="null3"/>
            </w:pPr>
            <w:r>
              <w:rPr>
                <w:rFonts w:ascii="仿宋_GB2312" w:hAnsi="仿宋_GB2312" w:cs="仿宋_GB2312" w:eastAsia="仿宋_GB2312"/>
                <w:sz w:val="21"/>
              </w:rPr>
              <w:t>将监墙内东西两侧金属隔离网更换为高密金属网</w:t>
            </w:r>
            <w:r>
              <w:rPr>
                <w:rFonts w:ascii="仿宋_GB2312" w:hAnsi="仿宋_GB2312" w:cs="仿宋_GB2312" w:eastAsia="仿宋_GB2312"/>
                <w:sz w:val="21"/>
              </w:rPr>
              <w:t>(4米高)，顶部加装不锈钢蛇腹形刀刺网，长度470米</w:t>
            </w:r>
            <w:r>
              <w:rPr>
                <w:rFonts w:ascii="仿宋_GB2312" w:hAnsi="仿宋_GB2312" w:cs="仿宋_GB2312" w:eastAsia="仿宋_GB2312"/>
                <w:sz w:val="21"/>
              </w:rPr>
              <w:t>；</w:t>
            </w:r>
            <w:r>
              <w:rPr>
                <w:rFonts w:ascii="仿宋_GB2312" w:hAnsi="仿宋_GB2312" w:cs="仿宋_GB2312" w:eastAsia="仿宋_GB2312"/>
                <w:sz w:val="21"/>
              </w:rPr>
              <w:t>新增监墙西侧、北侧、东侧北段巡道外侧</w:t>
            </w:r>
            <w:r>
              <w:rPr>
                <w:rFonts w:ascii="仿宋_GB2312" w:hAnsi="仿宋_GB2312" w:cs="仿宋_GB2312" w:eastAsia="仿宋_GB2312"/>
                <w:sz w:val="21"/>
              </w:rPr>
              <w:t>2.5米高金属隔离网(含不锈钢蛇腹形刀刺网)，长度600米</w:t>
            </w:r>
            <w:r>
              <w:rPr>
                <w:rFonts w:ascii="仿宋_GB2312" w:hAnsi="仿宋_GB2312" w:cs="仿宋_GB2312" w:eastAsia="仿宋_GB2312"/>
                <w:sz w:val="21"/>
              </w:rPr>
              <w:t>；</w:t>
            </w:r>
            <w:r>
              <w:rPr>
                <w:rFonts w:ascii="仿宋_GB2312" w:hAnsi="仿宋_GB2312" w:cs="仿宋_GB2312" w:eastAsia="仿宋_GB2312"/>
                <w:sz w:val="21"/>
              </w:rPr>
              <w:t>监墙内侧原有金属离网拆除及垃圾外运等。具体建设内容详见施工图纸及工程量清单。</w:t>
            </w:r>
          </w:p>
          <w:p>
            <w:pPr>
              <w:pStyle w:val="null3"/>
            </w:pPr>
            <w:r>
              <w:rPr>
                <w:rFonts w:ascii="仿宋_GB2312" w:hAnsi="仿宋_GB2312" w:cs="仿宋_GB2312" w:eastAsia="仿宋_GB2312"/>
                <w:sz w:val="21"/>
              </w:rPr>
              <w:t>二、施工图纸（见附件）</w:t>
            </w:r>
          </w:p>
          <w:p>
            <w:pPr>
              <w:pStyle w:val="null3"/>
              <w:jc w:val="both"/>
            </w:pPr>
            <w:r>
              <w:rPr>
                <w:rFonts w:ascii="仿宋_GB2312" w:hAnsi="仿宋_GB2312" w:cs="仿宋_GB2312" w:eastAsia="仿宋_GB2312"/>
                <w:sz w:val="21"/>
              </w:rPr>
              <w:t>三、关于核心产品：不适用。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设工程质量管理条例》、《建筑工程施工验收规范质量验收统一标准》和《房屋建筑工程质量保修办法》(建设部令第80号)以及相关规定。供应商应严格按照国家颁发的施工技术验收规范进行施工，质量应达到国家质量检验评定的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3.3.1本项目计划工期：35日历天。 3.3.2合同履约地点：陕西省庄里监狱。 3.3.3付款方式：合同签订后（安全文明施工费在支付预付款时一次性支付清），达到付款条件起30日内，支付合同总金额的40.00%。竣工验收合格后，达到付款条件起30日内，支付合同总金额的57.00%。缺陷责任期满（自竣工验收合格之日起12个月），达到付款条件起30日内，支付合同总金额的3.00%。其他费（8.41万元）由发包人安排使用，向承包人付款时不包含该费用。 3.3.4质量保修期：执行《房屋建筑工程质量保修办法》(建设部令第80号)及本项目承发包合同，工程的质量保修期：(一)地基基础工程和主体结构工程，为设计文件规定的该工程的合理使用年限；(二)其他工程的保修期限由发承包双方另行约定。 3.3.5工程量清单编制软件为广联达软件版本为GCCP7.0版本号:7.5000.23.2。 3.3.6本最高限价包含①设计费2.76万元。②监理费2.3万元。③招标及造价审计费1.38万元。④预备费1.97万元。以上价格均为不可竞争费，供应商报价时须按以上价格各自单独计入总报价且不得调整。否则投标无效。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供应商具备建筑工程施工总承包资质三级及以上资质，且具有有效的安全生产许可证。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具有建筑工程专业国家注册建造师二级以上（含）资格，并具有省级及以上建设行政主管部门颁发的有效的安全生产考核证书，未担任其他在建工程的项目经理。</w:t>
            </w:r>
          </w:p>
        </w:tc>
        <w:tc>
          <w:tcPr>
            <w:tcW w:type="dxa" w:w="1661"/>
          </w:tcPr>
          <w:p>
            <w:pPr>
              <w:pStyle w:val="null3"/>
            </w:pPr>
            <w:r>
              <w:rPr>
                <w:rFonts w:ascii="仿宋_GB2312" w:hAnsi="仿宋_GB2312" w:cs="仿宋_GB2312" w:eastAsia="仿宋_GB2312"/>
              </w:rPr>
              <w:t>项目管理机构组成表 主要人员简历表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①可提供2024年度经审计的财务报告（包含审计报告和审计报告中所涉及的财务报表和报表附注），②可提供截至响应文件提交截止日一年内银行出具的资信证明（以上两种形式的资料提供任何一种即可）。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已标价工程量清单 报价函 标的清单 响应函 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供应商报价包含①设计费2.76万元②监理费2.3万元③招标及造价审计费1.38万元④预备费1.97万元，且按以上价格单独计入并未调整；（5）符合《报价函》、《已标价工程量清单》及《标的清单》的填报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提供《强制优先采购产品承诺函》，且符合磋商文件要求。</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以及《合同文本》条款的要求，且未有采购人不能接受的附加条件的。结合磋商文件第3章“磋商项目技术、服务、商务要求”及第8章“拟签订合同文本”的实质性要求且没有负偏离。</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提供2022年1月1日以来同类工程施工项目的业绩证明文件（同类工程指建筑工程施工，证明文件指施工合同协议书），每出具一份业绩证明文件得2分。满分10分。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根据供应商提供的施工部署或总平面布置赋分，完全满足本项目实际需求得4分，基本满足本项目需求得3分，基本满足但完整性和可操作性欠缺得2分，不满足本项目需求根据情况得1分。未提供不得分。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安排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根据供应商提供的主要施工设备计划及主要材料供应计划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根据供应商提供的成品保护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响应文件包含对本项目质量保障，后期维护管理及发生质量问题后的补救措施，有明确具体的承诺，切实可行。根据响应情况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详见附件：质保服务.docx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