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版本号：SDZC2025-18620251120001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一体化平台系统运行维护项目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SDZC2025-186</w:t>
      </w:r>
      <w:r>
        <w:br/>
      </w:r>
      <w:r>
        <w:br/>
      </w:r>
      <w:r>
        <w:br/>
      </w:r>
    </w:p>
    <w:p>
      <w:pPr>
        <w:pStyle w:val="null3"/>
        <w:jc w:val="center"/>
        <w:outlineLvl w:val="2"/>
      </w:pPr>
      <w:r>
        <w:rPr>
          <w:rFonts w:ascii="仿宋_GB2312" w:hAnsi="仿宋_GB2312" w:cs="仿宋_GB2312" w:eastAsia="仿宋_GB2312"/>
          <w:sz w:val="28"/>
          <w:b/>
        </w:rPr>
        <w:t>陕西省无线电管理委员会机关</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陕西省无线电管理委员会机关</w:t>
      </w:r>
      <w:r>
        <w:rPr>
          <w:rFonts w:ascii="仿宋_GB2312" w:hAnsi="仿宋_GB2312" w:cs="仿宋_GB2312" w:eastAsia="仿宋_GB2312"/>
        </w:rPr>
        <w:t>委托，拟对</w:t>
      </w:r>
      <w:r>
        <w:rPr>
          <w:rFonts w:ascii="仿宋_GB2312" w:hAnsi="仿宋_GB2312" w:cs="仿宋_GB2312" w:eastAsia="仿宋_GB2312"/>
        </w:rPr>
        <w:t>一体化平台系统运行维护项目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SDZC2025-186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一体化平台系统运行维护项目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无线电管理一体化平台是全省无线电管理系统的通用门户，与国家级无线电管理一体化基础平台互联互通，为无线电监测联网、频率台站管理、重大活动保障等提供有力支撑，是无线电管理工作的重要工具。一体化平台的稳定运行和网络安全至关重要，需要定期维护，保障相关硬件和软件的正常使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采购包1（一体化平台系统运行维护项目）：属于专门面向中小企业采购。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的2023年度或2024年度完整有效的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8、投标保证金交纳凭证或担保函：投标保证金交纳凭证或担保函；（投标保证金交纳凭证为银行凭证及基本账户证明资料，担保函为财政部门认可的政府采购信用担保机构出具）</w:t>
      </w:r>
    </w:p>
    <w:p>
      <w:pPr>
        <w:pStyle w:val="null3"/>
      </w:pPr>
      <w:r>
        <w:rPr>
          <w:rFonts w:ascii="仿宋_GB2312" w:hAnsi="仿宋_GB2312" w:cs="仿宋_GB2312" w:eastAsia="仿宋_GB2312"/>
        </w:rPr>
        <w:t>9、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陕西省无线电管理委员会机关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省政府新城大院四号楼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029-88360537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郅龙（8号工位）、姚文霄、魏蕾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029-86673953、029-86518381转808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在领取中标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2、财务部联系方式：029-86673953、029-86518381、029-89299829、029-89293231 转813 备注：投标人在汇款（招标代理服务费）时须注明项目编号+项目简称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陕西省无线电管理委员会机关</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陕西省无线电管理委员会机关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陕西省无线电管理委员会机关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1.项目验收由甲方指定的第三方验收机构负责验收。 由采购方组织验收，包括项目验收申请及批复材料、项目中标人基本情况、招投标资料、中标通知书、项目合同、项目实施方案、项目实施总结报告等资料。验收合格后签发验收单。 2.验收依据 （1）合同文本及合同补充文件（条款）。 （2）招标文件。 （3）中标人的投标文件。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w:t>
      </w:r>
    </w:p>
    <w:p>
      <w:pPr>
        <w:pStyle w:val="null3"/>
      </w:pPr>
      <w:r>
        <w:rPr>
          <w:rFonts w:ascii="仿宋_GB2312" w:hAnsi="仿宋_GB2312" w:cs="仿宋_GB2312" w:eastAsia="仿宋_GB2312"/>
        </w:rPr>
        <w:t>联系电话：029-86673953、029-86518381、029-89299829、029-89293231转808</w:t>
      </w:r>
    </w:p>
    <w:p>
      <w:pPr>
        <w:pStyle w:val="null3"/>
      </w:pPr>
      <w:r>
        <w:rPr>
          <w:rFonts w:ascii="仿宋_GB2312" w:hAnsi="仿宋_GB2312" w:cs="仿宋_GB2312" w:eastAsia="仿宋_GB2312"/>
        </w:rPr>
        <w:t>地址：陕西上德招标有限公司（西安市经开区凤城八路正尚国际金融广场A座7层703（张家堡转盘东南角）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无线电管理一体化平台是全省无线电管理系统的通用门户，与国家级无线电管理一体化基础平台互联互通，为无线电监测联网、频率台站管理、重大活动保障等提供有力支撑，是无线电管理工作的重要工具。一体化平台的稳定运行和网络安全至关重要，需要定期维护，保障相关硬件和软件的正常使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一体化平台系统运行维护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标的名称：一体化平台系统运行维护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6"/>
              <w:gridCol w:w="2362"/>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一、</w:t>
                  </w:r>
                  <w:r>
                    <w:rPr>
                      <w:rFonts w:ascii="仿宋_GB2312" w:hAnsi="仿宋_GB2312" w:cs="仿宋_GB2312" w:eastAsia="仿宋_GB2312"/>
                      <w:sz w:val="19"/>
                    </w:rPr>
                    <w:t>概述</w:t>
                  </w:r>
                </w:p>
                <w:p>
                  <w:pPr>
                    <w:pStyle w:val="null3"/>
                    <w:jc w:val="both"/>
                  </w:pPr>
                  <w:r>
                    <w:rPr>
                      <w:rFonts w:ascii="仿宋_GB2312" w:hAnsi="仿宋_GB2312" w:cs="仿宋_GB2312" w:eastAsia="仿宋_GB2312"/>
                      <w:sz w:val="19"/>
                    </w:rPr>
                    <w:t>陕西省无线电管理一体化平台是全省无线电管理系统的通用门户，与国家级无线电管理一体化基础平台互联互通，为无线电监测联网、频率台站管理、重大活动保障等提供有力支撑，是无线电管理工作的重要工具。一体化平台的稳定运行和网络安全至关重要，需要定期维护，保障相关硬件和软件的正常使用。</w:t>
                  </w:r>
                </w:p>
                <w:p>
                  <w:pPr>
                    <w:pStyle w:val="null3"/>
                    <w:jc w:val="both"/>
                  </w:pPr>
                  <w:r>
                    <w:rPr>
                      <w:rFonts w:ascii="仿宋_GB2312" w:hAnsi="仿宋_GB2312" w:cs="仿宋_GB2312" w:eastAsia="仿宋_GB2312"/>
                      <w:sz w:val="19"/>
                    </w:rPr>
                    <w:t>二、</w:t>
                  </w:r>
                  <w:r>
                    <w:rPr>
                      <w:rFonts w:ascii="仿宋_GB2312" w:hAnsi="仿宋_GB2312" w:cs="仿宋_GB2312" w:eastAsia="仿宋_GB2312"/>
                      <w:sz w:val="19"/>
                    </w:rPr>
                    <w:t>维</w:t>
                  </w:r>
                  <w:r>
                    <w:rPr>
                      <w:rFonts w:ascii="仿宋_GB2312" w:hAnsi="仿宋_GB2312" w:cs="仿宋_GB2312" w:eastAsia="仿宋_GB2312"/>
                      <w:sz w:val="19"/>
                    </w:rPr>
                    <w:t>护</w:t>
                  </w:r>
                  <w:r>
                    <w:rPr>
                      <w:rFonts w:ascii="仿宋_GB2312" w:hAnsi="仿宋_GB2312" w:cs="仿宋_GB2312" w:eastAsia="仿宋_GB2312"/>
                      <w:sz w:val="19"/>
                    </w:rPr>
                    <w:t>范围</w:t>
                  </w:r>
                </w:p>
                <w:tbl>
                  <w:tblPr>
                    <w:tblInd w:type="dxa" w:w="135"/>
                    <w:tblBorders>
                      <w:top w:val="none" w:color="000000" w:sz="4"/>
                      <w:left w:val="none" w:color="000000" w:sz="4"/>
                      <w:bottom w:val="none" w:color="000000" w:sz="4"/>
                      <w:right w:val="none" w:color="000000" w:sz="4"/>
                      <w:insideH w:val="none"/>
                      <w:insideV w:val="none"/>
                    </w:tblBorders>
                  </w:tblPr>
                  <w:tblGrid>
                    <w:gridCol w:w="265"/>
                    <w:gridCol w:w="850"/>
                    <w:gridCol w:w="1031"/>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名称</w:t>
                        </w:r>
                      </w:p>
                    </w:tc>
                    <w:tc>
                      <w:tcPr>
                        <w:tcW w:type="dxa" w:w="10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具体内容</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p>
                        <w:pPr>
                          <w:pStyle w:val="null3"/>
                          <w:jc w:val="both"/>
                        </w:pPr>
                      </w:p>
                    </w:tc>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一体化平台维护</w:t>
                        </w:r>
                      </w:p>
                    </w:tc>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包括数据服务器、虚拟化服务器、监测存储服务器、安全网关、交换机、频率台站相关服务器等硬件设备和系统软件</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网络安全维护</w:t>
                        </w:r>
                      </w:p>
                      <w:p>
                        <w:pPr>
                          <w:pStyle w:val="null3"/>
                          <w:jc w:val="both"/>
                        </w:pPr>
                      </w:p>
                    </w:tc>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包括安恒防火墙、安恒运维安全审计系统、安恒数据库审计系统、安恒流量分析系统、</w:t>
                        </w:r>
                        <w:r>
                          <w:rPr>
                            <w:rFonts w:ascii="仿宋_GB2312" w:hAnsi="仿宋_GB2312" w:cs="仿宋_GB2312" w:eastAsia="仿宋_GB2312"/>
                            <w:sz w:val="19"/>
                          </w:rPr>
                          <w:t>AiLPHA</w:t>
                        </w:r>
                        <w:r>
                          <w:rPr>
                            <w:rFonts w:ascii="仿宋_GB2312" w:hAnsi="仿宋_GB2312" w:cs="仿宋_GB2312" w:eastAsia="仿宋_GB2312"/>
                            <w:sz w:val="19"/>
                          </w:rPr>
                          <w:t>安全分析与管理平台、主机管理系统、安全认证网关</w:t>
                        </w:r>
                        <w:r>
                          <w:rPr>
                            <w:rFonts w:ascii="仿宋_GB2312" w:hAnsi="仿宋_GB2312" w:cs="仿宋_GB2312" w:eastAsia="仿宋_GB2312"/>
                            <w:sz w:val="19"/>
                          </w:rPr>
                          <w:t>SAG-G-SNAC-2021</w:t>
                        </w:r>
                        <w:r>
                          <w:rPr>
                            <w:rFonts w:ascii="仿宋_GB2312" w:hAnsi="仿宋_GB2312" w:cs="仿宋_GB2312" w:eastAsia="仿宋_GB2312"/>
                            <w:sz w:val="19"/>
                          </w:rPr>
                          <w:t>、得安</w:t>
                        </w:r>
                        <w:r>
                          <w:rPr>
                            <w:rFonts w:ascii="仿宋_GB2312" w:hAnsi="仿宋_GB2312" w:cs="仿宋_GB2312" w:eastAsia="仿宋_GB2312"/>
                            <w:sz w:val="19"/>
                          </w:rPr>
                          <w:t>SJJ1540</w:t>
                        </w:r>
                        <w:r>
                          <w:rPr>
                            <w:rFonts w:ascii="仿宋_GB2312" w:hAnsi="仿宋_GB2312" w:cs="仿宋_GB2312" w:eastAsia="仿宋_GB2312"/>
                            <w:sz w:val="19"/>
                          </w:rPr>
                          <w:t xml:space="preserve">服务器密码机、深信服 </w:t>
                        </w:r>
                        <w:r>
                          <w:rPr>
                            <w:rFonts w:ascii="仿宋_GB2312" w:hAnsi="仿宋_GB2312" w:cs="仿宋_GB2312" w:eastAsia="仿宋_GB2312"/>
                            <w:sz w:val="19"/>
                          </w:rPr>
                          <w:t>SJJ1813</w:t>
                        </w:r>
                        <w:r>
                          <w:rPr>
                            <w:rFonts w:ascii="仿宋_GB2312" w:hAnsi="仿宋_GB2312" w:cs="仿宋_GB2312" w:eastAsia="仿宋_GB2312"/>
                            <w:sz w:val="19"/>
                          </w:rPr>
                          <w:t>综合安全网关、交换机</w:t>
                        </w:r>
                        <w:r>
                          <w:rPr>
                            <w:rFonts w:ascii="仿宋_GB2312" w:hAnsi="仿宋_GB2312" w:cs="仿宋_GB2312" w:eastAsia="仿宋_GB2312"/>
                            <w:sz w:val="19"/>
                          </w:rPr>
                          <w:t>H3C S5048PV5-EI</w:t>
                        </w:r>
                        <w:r>
                          <w:rPr>
                            <w:rFonts w:ascii="仿宋_GB2312" w:hAnsi="仿宋_GB2312" w:cs="仿宋_GB2312" w:eastAsia="仿宋_GB2312"/>
                            <w:sz w:val="19"/>
                          </w:rPr>
                          <w:t>等硬件及系统软件</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原子化封装</w:t>
                        </w:r>
                      </w:p>
                    </w:tc>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为</w:t>
                        </w:r>
                        <w:r>
                          <w:rPr>
                            <w:rFonts w:ascii="仿宋_GB2312" w:hAnsi="仿宋_GB2312" w:cs="仿宋_GB2312" w:eastAsia="仿宋_GB2312"/>
                            <w:sz w:val="19"/>
                          </w:rPr>
                          <w:t>7</w:t>
                        </w:r>
                        <w:r>
                          <w:rPr>
                            <w:rFonts w:ascii="仿宋_GB2312" w:hAnsi="仿宋_GB2312" w:cs="仿宋_GB2312" w:eastAsia="仿宋_GB2312"/>
                            <w:sz w:val="19"/>
                          </w:rPr>
                          <w:t>个小型站提供原子化封装服务，满足其接入一体化平台需求</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8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机房环境维护</w:t>
                        </w:r>
                      </w:p>
                    </w:tc>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主要维护机房精密空调，使其保持正常状态，确保一体化平台运行在适宜的温湿度环境</w:t>
                        </w:r>
                      </w:p>
                    </w:tc>
                  </w:tr>
                </w:tbl>
                <w:p>
                  <w:pPr>
                    <w:pStyle w:val="null3"/>
                    <w:jc w:val="both"/>
                  </w:pPr>
                  <w:r>
                    <w:rPr>
                      <w:rFonts w:ascii="仿宋_GB2312" w:hAnsi="仿宋_GB2312" w:cs="仿宋_GB2312" w:eastAsia="仿宋_GB2312"/>
                      <w:sz w:val="19"/>
                    </w:rPr>
                    <w:t>三、</w:t>
                  </w:r>
                  <w:r>
                    <w:rPr>
                      <w:rFonts w:ascii="仿宋_GB2312" w:hAnsi="仿宋_GB2312" w:cs="仿宋_GB2312" w:eastAsia="仿宋_GB2312"/>
                      <w:sz w:val="19"/>
                    </w:rPr>
                    <w:t>服务内容</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巡检服务</w:t>
                  </w:r>
                </w:p>
                <w:p>
                  <w:pPr>
                    <w:pStyle w:val="null3"/>
                    <w:jc w:val="both"/>
                  </w:pPr>
                  <w:r>
                    <w:rPr>
                      <w:rFonts w:ascii="仿宋_GB2312" w:hAnsi="仿宋_GB2312" w:cs="仿宋_GB2312" w:eastAsia="仿宋_GB2312"/>
                      <w:sz w:val="19"/>
                    </w:rPr>
                    <w:t>服务</w:t>
                  </w:r>
                  <w:r>
                    <w:rPr>
                      <w:rFonts w:ascii="仿宋_GB2312" w:hAnsi="仿宋_GB2312" w:cs="仿宋_GB2312" w:eastAsia="仿宋_GB2312"/>
                      <w:sz w:val="19"/>
                    </w:rPr>
                    <w:t>期内每季度执行</w:t>
                  </w:r>
                  <w:r>
                    <w:rPr>
                      <w:rFonts w:ascii="仿宋_GB2312" w:hAnsi="仿宋_GB2312" w:cs="仿宋_GB2312" w:eastAsia="仿宋_GB2312"/>
                      <w:sz w:val="19"/>
                    </w:rPr>
                    <w:t>1</w:t>
                  </w:r>
                  <w:r>
                    <w:rPr>
                      <w:rFonts w:ascii="仿宋_GB2312" w:hAnsi="仿宋_GB2312" w:cs="仿宋_GB2312" w:eastAsia="仿宋_GB2312"/>
                      <w:sz w:val="19"/>
                    </w:rPr>
                    <w:t>次巡检工作，巡检时</w:t>
                  </w:r>
                  <w:r>
                    <w:rPr>
                      <w:rFonts w:ascii="仿宋_GB2312" w:hAnsi="仿宋_GB2312" w:cs="仿宋_GB2312" w:eastAsia="仿宋_GB2312"/>
                      <w:sz w:val="19"/>
                    </w:rPr>
                    <w:t>中</w:t>
                  </w:r>
                  <w:r>
                    <w:rPr>
                      <w:rFonts w:ascii="仿宋_GB2312" w:hAnsi="仿宋_GB2312" w:cs="仿宋_GB2312" w:eastAsia="仿宋_GB2312"/>
                      <w:sz w:val="19"/>
                    </w:rPr>
                    <w:t>标方技术服务人员检查项目范围内系统</w:t>
                  </w:r>
                  <w:r>
                    <w:rPr>
                      <w:rFonts w:ascii="仿宋_GB2312" w:hAnsi="仿宋_GB2312" w:cs="仿宋_GB2312" w:eastAsia="仿宋_GB2312"/>
                      <w:sz w:val="19"/>
                    </w:rPr>
                    <w:t>硬件</w:t>
                  </w:r>
                  <w:r>
                    <w:rPr>
                      <w:rFonts w:ascii="仿宋_GB2312" w:hAnsi="仿宋_GB2312" w:cs="仿宋_GB2312" w:eastAsia="仿宋_GB2312"/>
                      <w:sz w:val="19"/>
                    </w:rPr>
                    <w:t>及基础软件运行状态，发现问题及时处理。巡检完成后形成巡检记录文件，并提交采购方进行确认。</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技术咨询与指导服务</w:t>
                  </w:r>
                </w:p>
                <w:p>
                  <w:pPr>
                    <w:pStyle w:val="null3"/>
                    <w:jc w:val="both"/>
                  </w:pPr>
                  <w:r>
                    <w:rPr>
                      <w:rFonts w:ascii="仿宋_GB2312" w:hAnsi="仿宋_GB2312" w:cs="仿宋_GB2312" w:eastAsia="仿宋_GB2312"/>
                      <w:sz w:val="19"/>
                    </w:rPr>
                    <w:t>采购方用户在使用</w:t>
                  </w:r>
                  <w:r>
                    <w:rPr>
                      <w:rFonts w:ascii="仿宋_GB2312" w:hAnsi="仿宋_GB2312" w:cs="仿宋_GB2312" w:eastAsia="仿宋_GB2312"/>
                      <w:sz w:val="19"/>
                    </w:rPr>
                    <w:t>一体化平台</w:t>
                  </w:r>
                  <w:r>
                    <w:rPr>
                      <w:rFonts w:ascii="仿宋_GB2312" w:hAnsi="仿宋_GB2312" w:cs="仿宋_GB2312" w:eastAsia="仿宋_GB2312"/>
                      <w:sz w:val="19"/>
                    </w:rPr>
                    <w:t>过程中</w:t>
                  </w:r>
                  <w:r>
                    <w:rPr>
                      <w:rFonts w:ascii="仿宋_GB2312" w:hAnsi="仿宋_GB2312" w:cs="仿宋_GB2312" w:eastAsia="仿宋_GB2312"/>
                      <w:sz w:val="19"/>
                    </w:rPr>
                    <w:t>遇到</w:t>
                  </w:r>
                  <w:r>
                    <w:rPr>
                      <w:rFonts w:ascii="仿宋_GB2312" w:hAnsi="仿宋_GB2312" w:cs="仿宋_GB2312" w:eastAsia="仿宋_GB2312"/>
                      <w:sz w:val="19"/>
                    </w:rPr>
                    <w:t>问题时，可随时联系到中标方技术服务人员，技术服务人员通过电话远程</w:t>
                  </w:r>
                  <w:r>
                    <w:rPr>
                      <w:rFonts w:ascii="仿宋_GB2312" w:hAnsi="仿宋_GB2312" w:cs="仿宋_GB2312" w:eastAsia="仿宋_GB2312"/>
                      <w:sz w:val="19"/>
                    </w:rPr>
                    <w:t>或现场</w:t>
                  </w:r>
                  <w:r>
                    <w:rPr>
                      <w:rFonts w:ascii="仿宋_GB2312" w:hAnsi="仿宋_GB2312" w:cs="仿宋_GB2312" w:eastAsia="仿宋_GB2312"/>
                      <w:sz w:val="19"/>
                    </w:rPr>
                    <w:t>方式对用户进行技术指导和答疑。</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技术支持服务</w:t>
                  </w:r>
                </w:p>
                <w:p>
                  <w:pPr>
                    <w:pStyle w:val="null3"/>
                    <w:jc w:val="both"/>
                  </w:pPr>
                  <w:r>
                    <w:rPr>
                      <w:rFonts w:ascii="仿宋_GB2312" w:hAnsi="仿宋_GB2312" w:cs="仿宋_GB2312" w:eastAsia="仿宋_GB2312"/>
                      <w:sz w:val="19"/>
                    </w:rPr>
                    <w:t>维保服务期内中标方技术服务人员负责对项目范围内的软件系统提供</w:t>
                  </w:r>
                  <w:r>
                    <w:rPr>
                      <w:rFonts w:ascii="仿宋_GB2312" w:hAnsi="仿宋_GB2312" w:cs="仿宋_GB2312" w:eastAsia="仿宋_GB2312"/>
                      <w:sz w:val="19"/>
                    </w:rPr>
                    <w:t>7*24</w:t>
                  </w:r>
                  <w:r>
                    <w:rPr>
                      <w:rFonts w:ascii="仿宋_GB2312" w:hAnsi="仿宋_GB2312" w:cs="仿宋_GB2312" w:eastAsia="仿宋_GB2312"/>
                      <w:sz w:val="19"/>
                    </w:rPr>
                    <w:t>小时技术支持服务，需具有完善的技术支持</w:t>
                  </w:r>
                  <w:r>
                    <w:rPr>
                      <w:rFonts w:ascii="仿宋_GB2312" w:hAnsi="仿宋_GB2312" w:cs="仿宋_GB2312" w:eastAsia="仿宋_GB2312"/>
                      <w:sz w:val="19"/>
                    </w:rPr>
                    <w:t>(</w:t>
                  </w:r>
                  <w:r>
                    <w:rPr>
                      <w:rFonts w:ascii="仿宋_GB2312" w:hAnsi="仿宋_GB2312" w:cs="仿宋_GB2312" w:eastAsia="仿宋_GB2312"/>
                      <w:sz w:val="19"/>
                    </w:rPr>
                    <w:t>故障处理</w:t>
                  </w:r>
                  <w:r>
                    <w:rPr>
                      <w:rFonts w:ascii="仿宋_GB2312" w:hAnsi="仿宋_GB2312" w:cs="仿宋_GB2312" w:eastAsia="仿宋_GB2312"/>
                      <w:sz w:val="19"/>
                    </w:rPr>
                    <w:t>)</w:t>
                  </w:r>
                  <w:r>
                    <w:rPr>
                      <w:rFonts w:ascii="仿宋_GB2312" w:hAnsi="仿宋_GB2312" w:cs="仿宋_GB2312" w:eastAsia="仿宋_GB2312"/>
                      <w:sz w:val="19"/>
                    </w:rPr>
                    <w:t xml:space="preserve">流程，采购方用户在遇到问题时可以第一时间通过电话、网络等方式联系中标方技术服务人员，并在 </w:t>
                  </w:r>
                  <w:r>
                    <w:rPr>
                      <w:rFonts w:ascii="仿宋_GB2312" w:hAnsi="仿宋_GB2312" w:cs="仿宋_GB2312" w:eastAsia="仿宋_GB2312"/>
                      <w:sz w:val="19"/>
                    </w:rPr>
                    <w:t xml:space="preserve">24 </w:t>
                  </w:r>
                  <w:r>
                    <w:rPr>
                      <w:rFonts w:ascii="仿宋_GB2312" w:hAnsi="仿宋_GB2312" w:cs="仿宋_GB2312" w:eastAsia="仿宋_GB2312"/>
                      <w:sz w:val="19"/>
                    </w:rPr>
                    <w:t>小时内完成故障处理工作，保证软件系统的正常运行。</w:t>
                  </w:r>
                  <w:r>
                    <w:rPr>
                      <w:rFonts w:ascii="仿宋_GB2312" w:hAnsi="仿宋_GB2312" w:cs="仿宋_GB2312" w:eastAsia="仿宋_GB2312"/>
                      <w:sz w:val="19"/>
                    </w:rPr>
                    <w:t>若硬件设备损坏，及时进行维修，维修不了的，尽快进行更换。</w:t>
                  </w:r>
                  <w:r>
                    <w:rPr>
                      <w:rFonts w:ascii="仿宋_GB2312" w:hAnsi="仿宋_GB2312" w:cs="仿宋_GB2312" w:eastAsia="仿宋_GB2312"/>
                      <w:sz w:val="19"/>
                    </w:rPr>
                    <w:t>服务完成后</w:t>
                  </w:r>
                  <w:r>
                    <w:rPr>
                      <w:rFonts w:ascii="仿宋_GB2312" w:hAnsi="仿宋_GB2312" w:cs="仿宋_GB2312" w:eastAsia="仿宋_GB2312"/>
                      <w:sz w:val="19"/>
                    </w:rPr>
                    <w:t>由技术支持人员</w:t>
                  </w:r>
                  <w:r>
                    <w:rPr>
                      <w:rFonts w:ascii="仿宋_GB2312" w:hAnsi="仿宋_GB2312" w:cs="仿宋_GB2312" w:eastAsia="仿宋_GB2312"/>
                      <w:sz w:val="19"/>
                    </w:rPr>
                    <w:t>填写记录文件，并提交采购方进行确认。</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软件版本内</w:t>
                  </w:r>
                  <w:r>
                    <w:rPr>
                      <w:rFonts w:ascii="仿宋_GB2312" w:hAnsi="仿宋_GB2312" w:cs="仿宋_GB2312" w:eastAsia="仿宋_GB2312"/>
                      <w:sz w:val="19"/>
                    </w:rPr>
                    <w:t>优化</w:t>
                  </w:r>
                  <w:r>
                    <w:rPr>
                      <w:rFonts w:ascii="仿宋_GB2312" w:hAnsi="仿宋_GB2312" w:cs="仿宋_GB2312" w:eastAsia="仿宋_GB2312"/>
                      <w:sz w:val="19"/>
                    </w:rPr>
                    <w:t>服务</w:t>
                  </w:r>
                </w:p>
                <w:p>
                  <w:pPr>
                    <w:pStyle w:val="null3"/>
                    <w:jc w:val="both"/>
                  </w:pPr>
                  <w:r>
                    <w:rPr>
                      <w:rFonts w:ascii="仿宋_GB2312" w:hAnsi="仿宋_GB2312" w:cs="仿宋_GB2312" w:eastAsia="仿宋_GB2312"/>
                      <w:sz w:val="19"/>
                    </w:rPr>
                    <w:t>在服务期内中标方需对</w:t>
                  </w:r>
                  <w:r>
                    <w:rPr>
                      <w:rFonts w:ascii="仿宋_GB2312" w:hAnsi="仿宋_GB2312" w:cs="仿宋_GB2312" w:eastAsia="仿宋_GB2312"/>
                      <w:sz w:val="19"/>
                    </w:rPr>
                    <w:t>平台</w:t>
                  </w:r>
                  <w:r>
                    <w:rPr>
                      <w:rFonts w:ascii="仿宋_GB2312" w:hAnsi="仿宋_GB2312" w:cs="仿宋_GB2312" w:eastAsia="仿宋_GB2312"/>
                      <w:sz w:val="19"/>
                    </w:rPr>
                    <w:t>系统进行优化和更新，确保</w:t>
                  </w:r>
                  <w:r>
                    <w:rPr>
                      <w:rFonts w:ascii="仿宋_GB2312" w:hAnsi="仿宋_GB2312" w:cs="仿宋_GB2312" w:eastAsia="仿宋_GB2312"/>
                      <w:sz w:val="19"/>
                    </w:rPr>
                    <w:t>一体化平台的</w:t>
                  </w:r>
                  <w:r>
                    <w:rPr>
                      <w:rFonts w:ascii="仿宋_GB2312" w:hAnsi="仿宋_GB2312" w:cs="仿宋_GB2312" w:eastAsia="仿宋_GB2312"/>
                      <w:sz w:val="19"/>
                    </w:rPr>
                    <w:t>稳定</w:t>
                  </w:r>
                  <w:r>
                    <w:rPr>
                      <w:rFonts w:ascii="仿宋_GB2312" w:hAnsi="仿宋_GB2312" w:cs="仿宋_GB2312" w:eastAsia="仿宋_GB2312"/>
                      <w:sz w:val="19"/>
                    </w:rPr>
                    <w:t>性</w:t>
                  </w:r>
                  <w:r>
                    <w:rPr>
                      <w:rFonts w:ascii="仿宋_GB2312" w:hAnsi="仿宋_GB2312" w:cs="仿宋_GB2312" w:eastAsia="仿宋_GB2312"/>
                      <w:sz w:val="19"/>
                    </w:rPr>
                    <w:t>。主要针对业务人员使用过程中发现或者中标方在检查时发现软件系统存在</w:t>
                  </w:r>
                  <w:r>
                    <w:rPr>
                      <w:rFonts w:ascii="仿宋_GB2312" w:hAnsi="仿宋_GB2312" w:cs="仿宋_GB2312" w:eastAsia="仿宋_GB2312"/>
                      <w:sz w:val="19"/>
                    </w:rPr>
                    <w:t>的</w:t>
                  </w:r>
                  <w:r>
                    <w:rPr>
                      <w:rFonts w:ascii="仿宋_GB2312" w:hAnsi="仿宋_GB2312" w:cs="仿宋_GB2312" w:eastAsia="仿宋_GB2312"/>
                      <w:sz w:val="19"/>
                    </w:rPr>
                    <w:t>问题</w:t>
                  </w:r>
                  <w:r>
                    <w:rPr>
                      <w:rFonts w:ascii="仿宋_GB2312" w:hAnsi="仿宋_GB2312" w:cs="仿宋_GB2312" w:eastAsia="仿宋_GB2312"/>
                      <w:sz w:val="19"/>
                    </w:rPr>
                    <w:t>和</w:t>
                  </w:r>
                  <w:r>
                    <w:rPr>
                      <w:rFonts w:ascii="仿宋_GB2312" w:hAnsi="仿宋_GB2312" w:cs="仿宋_GB2312" w:eastAsia="仿宋_GB2312"/>
                      <w:sz w:val="19"/>
                    </w:rPr>
                    <w:t>缺陷漏洞进行修复。</w:t>
                  </w:r>
                </w:p>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备份（恢复）服务</w:t>
                  </w:r>
                </w:p>
                <w:p>
                  <w:pPr>
                    <w:pStyle w:val="null3"/>
                    <w:jc w:val="both"/>
                  </w:pPr>
                  <w:r>
                    <w:rPr>
                      <w:rFonts w:ascii="仿宋_GB2312" w:hAnsi="仿宋_GB2312" w:cs="仿宋_GB2312" w:eastAsia="仿宋_GB2312"/>
                      <w:sz w:val="19"/>
                    </w:rPr>
                    <w:t>为确保</w:t>
                  </w:r>
                  <w:r>
                    <w:rPr>
                      <w:rFonts w:ascii="仿宋_GB2312" w:hAnsi="仿宋_GB2312" w:cs="仿宋_GB2312" w:eastAsia="仿宋_GB2312"/>
                      <w:sz w:val="19"/>
                    </w:rPr>
                    <w:t>一体化平台系统</w:t>
                  </w:r>
                  <w:r>
                    <w:rPr>
                      <w:rFonts w:ascii="仿宋_GB2312" w:hAnsi="仿宋_GB2312" w:cs="仿宋_GB2312" w:eastAsia="仿宋_GB2312"/>
                      <w:sz w:val="19"/>
                    </w:rPr>
                    <w:t>出现故障后或发生紧急事件后可以尽快恢复正常使用，中标方服务人员</w:t>
                  </w:r>
                  <w:r>
                    <w:rPr>
                      <w:rFonts w:ascii="仿宋_GB2312" w:hAnsi="仿宋_GB2312" w:cs="仿宋_GB2312" w:eastAsia="仿宋_GB2312"/>
                      <w:sz w:val="19"/>
                    </w:rPr>
                    <w:t>需</w:t>
                  </w:r>
                  <w:r>
                    <w:rPr>
                      <w:rFonts w:ascii="仿宋_GB2312" w:hAnsi="仿宋_GB2312" w:cs="仿宋_GB2312" w:eastAsia="仿宋_GB2312"/>
                      <w:sz w:val="19"/>
                    </w:rPr>
                    <w:t>定期对软件和数据库进行备份。</w:t>
                  </w:r>
                </w:p>
                <w:p>
                  <w:pPr>
                    <w:pStyle w:val="null3"/>
                    <w:jc w:val="both"/>
                  </w:pPr>
                  <w:r>
                    <w:rPr>
                      <w:rFonts w:ascii="仿宋_GB2312" w:hAnsi="仿宋_GB2312" w:cs="仿宋_GB2312" w:eastAsia="仿宋_GB2312"/>
                      <w:sz w:val="19"/>
                    </w:rPr>
                    <w:t>四、维护</w:t>
                  </w:r>
                  <w:r>
                    <w:rPr>
                      <w:rFonts w:ascii="仿宋_GB2312" w:hAnsi="仿宋_GB2312" w:cs="仿宋_GB2312" w:eastAsia="仿宋_GB2312"/>
                      <w:sz w:val="19"/>
                    </w:rPr>
                    <w:t>服务要求</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方案要求</w:t>
                  </w:r>
                </w:p>
                <w:p>
                  <w:pPr>
                    <w:pStyle w:val="null3"/>
                    <w:jc w:val="both"/>
                  </w:pPr>
                  <w:r>
                    <w:rPr>
                      <w:rFonts w:ascii="仿宋_GB2312" w:hAnsi="仿宋_GB2312" w:cs="仿宋_GB2312" w:eastAsia="仿宋_GB2312"/>
                      <w:sz w:val="19"/>
                    </w:rPr>
                    <w:t>投标方需要根据招标文件中描述运维服务的内容和要求，制定详细的服务方案，并编写到投标文件中，要求科学、合理，符合政府单位的维护工作标准和规范流程。</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服务方式</w:t>
                  </w:r>
                </w:p>
                <w:p>
                  <w:pPr>
                    <w:pStyle w:val="null3"/>
                    <w:jc w:val="both"/>
                  </w:pPr>
                  <w:r>
                    <w:rPr>
                      <w:rFonts w:ascii="仿宋_GB2312" w:hAnsi="仿宋_GB2312" w:cs="仿宋_GB2312" w:eastAsia="仿宋_GB2312"/>
                      <w:sz w:val="19"/>
                    </w:rPr>
                    <w:t>远程服务与现场服务相结合，投标方针对本项目建立服务团队，根据要求进行巡检服务。</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文档要求</w:t>
                  </w:r>
                </w:p>
                <w:p>
                  <w:pPr>
                    <w:pStyle w:val="null3"/>
                    <w:jc w:val="both"/>
                  </w:pPr>
                  <w:r>
                    <w:rPr>
                      <w:rFonts w:ascii="仿宋_GB2312" w:hAnsi="仿宋_GB2312" w:cs="仿宋_GB2312" w:eastAsia="仿宋_GB2312"/>
                      <w:sz w:val="19"/>
                    </w:rPr>
                    <w:t>在服务过程中服务人员做好所有文档的记录和归档工作，包括各种形式的服务总结、工作汇报及技术方案等，每季度汇总一次，提交给采购人相关部门确认。服务期结束后装订成册作为服务验收依据。</w:t>
                  </w:r>
                </w:p>
                <w:p>
                  <w:pPr>
                    <w:pStyle w:val="null3"/>
                    <w:jc w:val="both"/>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管理要求</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）必须配合采购方积极参与本项目的监督和管理，遵守采购方工作的相关规章制度。</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）投标方保证其运维服务人员</w:t>
                  </w:r>
                  <w:r>
                    <w:rPr>
                      <w:rFonts w:ascii="仿宋_GB2312" w:hAnsi="仿宋_GB2312" w:cs="仿宋_GB2312" w:eastAsia="仿宋_GB2312"/>
                      <w:sz w:val="19"/>
                    </w:rPr>
                    <w:t>具有</w:t>
                  </w:r>
                  <w:r>
                    <w:rPr>
                      <w:rFonts w:ascii="仿宋_GB2312" w:hAnsi="仿宋_GB2312" w:cs="仿宋_GB2312" w:eastAsia="仿宋_GB2312"/>
                      <w:sz w:val="19"/>
                    </w:rPr>
                    <w:t>一定的技术水平，采购方有权对不满足工作要求的服务人员向投标方提出更换的要求；如发现工作上有弄虚作假情况，采购方有权做出相应处理，直至终止合同并追究投标人相应责任。</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）人员管理：投标方运维服务人员，工作上需要遵守采购人有关工作制度及保密制度。采购方有权根据服务人员服务质量情况要求变更运维服务人员。</w:t>
                  </w:r>
                </w:p>
                <w:p>
                  <w:pPr>
                    <w:pStyle w:val="null3"/>
                    <w:jc w:val="both"/>
                  </w:pP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质量要求</w:t>
                  </w:r>
                  <w:r>
                    <w:rPr>
                      <w:rFonts w:ascii="仿宋_GB2312" w:hAnsi="仿宋_GB2312" w:cs="仿宋_GB2312" w:eastAsia="仿宋_GB2312"/>
                      <w:sz w:val="19"/>
                    </w:rPr>
                    <w:t>：投标方应制定相应的工作方案，明确质量保证措施。</w:t>
                  </w:r>
                </w:p>
                <w:p>
                  <w:pPr>
                    <w:pStyle w:val="null3"/>
                    <w:jc w:val="both"/>
                  </w:p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根据项目服务要求按需配备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根据项目服务要求按需配备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符合国家现行技术规范和标准合格。</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2026年1月1日至2026年12月31日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采购人指定地点（陕西省内）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1.项目验收由甲方指定的第三方验收机构负责验收。 由采购方组织验收，包括项目验收申请及批复材料、项目中标人基本情况、招投标资料、中标通知书、项目合同、项目实施方案、项目实施总结报告等资料。验收合格后签发验收单。 2.验收依据 （1）合同文本及合同补充文件（条款）。 （2）招标文件。 （3）中标人的投标文件。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1.1.合同签订后5个工作日内，乙方向甲方出具合同总价款5%金额的银行保函，保函有效期截止到项目终验合格之日结束； 1.2.甲方收到乙方合格银行保函后支付全部合同总价款； 1.3.乙方承诺在甲方办理支付手续前，为甲方出具等额的符合国家规定的发票； 1.4.上述时间不包括甲方正常办理支付报批手续的时间（办理银行担保所需的手续费、担保费等全部由中标人承担）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采购人有权终止合同，并对供方违约行为进行追究，同时按《中华人民共和国政府采购法》的有关规定进行处罚。3.若未能在服务期内完成合同规定的义务，由此对采购方造成的延误和一切损失，由中标人承担和赔偿。</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1.中标人在领取中标通知书时提供一正两副纸质投标文件，装订：纸质投标文件采用书籍（胶装）方式装订成册，与电子投标文件一致的签字、盖章的完整版本（正本为红章）。2.退还保证金： 2.1在投标截止时间前撤回已提交投标文件的投标人的投标保证金，将在招标代理机构收到投标人书面撤回通知之日起5个工作日内退还。2.2所有未中标人的投标保证金，将在中标通知书发出后5个工作日内退还。2.3中标人的投标保证金在签订合同后，执合同予以5个工作日内退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供应商需在项目电子化交易系统中按要求填写《投标函》完成承诺并进行电子签章。本项目与“控股关系查询”为同一审查内容。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2023年度或2024年度完整有效的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投标保证金交纳凭证或担保函；（投标保证金交纳凭证为银行凭证及基本账户证明资料，担保函为财政部门认可的政府采购信用担保机构出具）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除明确允许供应商可以自行编写的外，投标文件按照招标文件给定的格式编制</w:t>
            </w:r>
          </w:p>
        </w:tc>
        <w:tc>
          <w:tcPr>
            <w:tcW w:type="dxa" w:w="1661"/>
          </w:tcPr>
          <w:p>
            <w:pPr>
              <w:pStyle w:val="null3"/>
            </w:pPr>
            <w:r>
              <w:rPr>
                <w:rFonts w:ascii="仿宋_GB2312" w:hAnsi="仿宋_GB2312" w:cs="仿宋_GB2312" w:eastAsia="仿宋_GB2312"/>
              </w:rPr>
              <w:t>业绩情况.docx 资质情况.docx 投标人认为需要提供的其他资料.docx 中小企业声明函 承诺书.docx 分项报价.docx 风险应急方案.docx 拟派团队实力.docx 响应偏离表.docx 资格证明文件.docx 对本项目范围内现有系统的理解情况.docx IT基础设施维护能力.docx 投标函 平台级软件系统维护能力.docx 残疾人福利性单位声明函 拒绝政府采购领域商业贿赂承诺书.docx 标的清单 服务保障及响应.docx 投标文件封面 运维工作方案.docx 法定代表人授权委托书.docx 监狱企业的证明文件 上层应用软件系统维护能力.docx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投标文件按照招标文件的要求盖章签字</w:t>
            </w:r>
          </w:p>
        </w:tc>
        <w:tc>
          <w:tcPr>
            <w:tcW w:type="dxa" w:w="1661"/>
          </w:tcPr>
          <w:p>
            <w:pPr>
              <w:pStyle w:val="null3"/>
            </w:pPr>
            <w:r>
              <w:rPr>
                <w:rFonts w:ascii="仿宋_GB2312" w:hAnsi="仿宋_GB2312" w:cs="仿宋_GB2312" w:eastAsia="仿宋_GB2312"/>
              </w:rPr>
              <w:t>业绩情况.docx 资质情况.docx 投标人认为需要提供的其他资料.docx 中小企业声明函 承诺书.docx 分项报价.docx 风险应急方案.docx 拟派团队实力.docx 响应偏离表.docx 资格证明文件.docx 对本项目范围内现有系统的理解情况.docx IT基础设施维护能力.docx 投标函 平台级软件系统维护能力.docx 残疾人福利性单位声明函 拒绝政府采购领域商业贿赂承诺书.docx 标的清单 服务保障及响应.docx 运维工作方案.docx 投标文件封面 法定代表人授权委托书.docx 监狱企业的证明文件 上层应用软件系统维护能力.docx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 投标文件封面 分项报价.docx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投标有效期投标有效期符合招标文件的要求</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对招标文件商务要求作出明确且实质性响应</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服务内容和要求</w:t>
            </w:r>
          </w:p>
        </w:tc>
        <w:tc>
          <w:tcPr>
            <w:tcW w:type="dxa" w:w="3322"/>
          </w:tcPr>
          <w:p>
            <w:pPr>
              <w:pStyle w:val="null3"/>
            </w:pPr>
            <w:r>
              <w:rPr>
                <w:rFonts w:ascii="仿宋_GB2312" w:hAnsi="仿宋_GB2312" w:cs="仿宋_GB2312" w:eastAsia="仿宋_GB2312"/>
              </w:rPr>
              <w:t>对招标文件服务内容和要求作出明确响应，对不得偏离的要求作出实质性响应</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投标文件未含有采购人不能接受的附加条件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投标人认为需要提供的其他资料.docx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不含有法律、法规和招标文件规定的其他无效投标情形</w:t>
            </w:r>
          </w:p>
        </w:tc>
        <w:tc>
          <w:tcPr>
            <w:tcW w:type="dxa" w:w="1661"/>
          </w:tcPr>
          <w:p>
            <w:pPr>
              <w:pStyle w:val="null3"/>
            </w:pPr>
            <w:r>
              <w:rPr>
                <w:rFonts w:ascii="仿宋_GB2312" w:hAnsi="仿宋_GB2312" w:cs="仿宋_GB2312" w:eastAsia="仿宋_GB2312"/>
              </w:rPr>
              <w:t>投标人认为需要提供的其他资料.docx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对本项目范围内现有系统的理解情况</w:t>
            </w:r>
          </w:p>
        </w:tc>
        <w:tc>
          <w:tcPr>
            <w:tcW w:type="dxa" w:w="2492"/>
          </w:tcPr>
          <w:p>
            <w:pPr>
              <w:pStyle w:val="null3"/>
            </w:pPr>
            <w:r>
              <w:rPr>
                <w:rFonts w:ascii="仿宋_GB2312" w:hAnsi="仿宋_GB2312" w:cs="仿宋_GB2312" w:eastAsia="仿宋_GB2312"/>
              </w:rPr>
              <w:t>根据投标人对本项目现有系统现状的理解情况进行评分。 内容包括①对一体化平台的了解情况、②对现有平台硬件设备的了解情况、③对平台应用软件系统的了解情况。上述3项内容无缺项、无缺陷的得15分，每缺少一项扣5分，每项中每有1处存在内容缺陷扣2分（内容缺陷是指存在内容与本项目需求无关、不贴合项目特点、方案内容不全面以及内容过于简单无实质性内容等情况等任意一种情形），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对本项目范围内现有系统的理解情况.docx</w:t>
            </w:r>
          </w:p>
        </w:tc>
      </w:tr>
      <w:tr>
        <w:tc>
          <w:tcPr>
            <w:tcW w:type="dxa" w:w="831"/>
            <w:vMerge/>
          </w:tcPr>
          <w:p/>
        </w:tc>
        <w:tc>
          <w:tcPr>
            <w:tcW w:type="dxa" w:w="1661"/>
          </w:tcPr>
          <w:p>
            <w:pPr>
              <w:pStyle w:val="null3"/>
            </w:pPr>
            <w:r>
              <w:rPr>
                <w:rFonts w:ascii="仿宋_GB2312" w:hAnsi="仿宋_GB2312" w:cs="仿宋_GB2312" w:eastAsia="仿宋_GB2312"/>
              </w:rPr>
              <w:t>IT基础设施维护能力</w:t>
            </w:r>
          </w:p>
        </w:tc>
        <w:tc>
          <w:tcPr>
            <w:tcW w:type="dxa" w:w="2492"/>
          </w:tcPr>
          <w:p>
            <w:pPr>
              <w:pStyle w:val="null3"/>
            </w:pPr>
            <w:r>
              <w:rPr>
                <w:rFonts w:ascii="仿宋_GB2312" w:hAnsi="仿宋_GB2312" w:cs="仿宋_GB2312" w:eastAsia="仿宋_GB2312"/>
              </w:rPr>
              <w:t>根据投标人对本项目运行维护范围内的 ①服务器、 ②虚拟化平台、③网络设备等平台侧IT基础设施的维护方案与采购要求的匹配情况进行评分。 上述内容无缺项、无缺陷得12分，每缺少一项扣4分，每项中每有1处存在内容缺陷扣2分（内容缺陷是指存在内容与本项目需求无关、不贴合项目特点、方案内容不全面以及内容过于简单无实质性内容等情况等任意一种情形），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IT基础设施维护能力.docx</w:t>
            </w:r>
          </w:p>
        </w:tc>
      </w:tr>
      <w:tr>
        <w:tc>
          <w:tcPr>
            <w:tcW w:type="dxa" w:w="831"/>
            <w:vMerge/>
          </w:tcPr>
          <w:p/>
        </w:tc>
        <w:tc>
          <w:tcPr>
            <w:tcW w:type="dxa" w:w="1661"/>
          </w:tcPr>
          <w:p>
            <w:pPr>
              <w:pStyle w:val="null3"/>
            </w:pPr>
            <w:r>
              <w:rPr>
                <w:rFonts w:ascii="仿宋_GB2312" w:hAnsi="仿宋_GB2312" w:cs="仿宋_GB2312" w:eastAsia="仿宋_GB2312"/>
              </w:rPr>
              <w:t>平台级软件系统维护能力</w:t>
            </w:r>
          </w:p>
        </w:tc>
        <w:tc>
          <w:tcPr>
            <w:tcW w:type="dxa" w:w="2492"/>
          </w:tcPr>
          <w:p>
            <w:pPr>
              <w:pStyle w:val="null3"/>
            </w:pPr>
            <w:r>
              <w:rPr>
                <w:rFonts w:ascii="仿宋_GB2312" w:hAnsi="仿宋_GB2312" w:cs="仿宋_GB2312" w:eastAsia="仿宋_GB2312"/>
              </w:rPr>
              <w:t>根据投标人对本项目运行维护范围内的①无线电管理一体化基础平台、②超短波监测管理一体化平台等平台级软件系统的维护方案与采购要求的匹配情况进行评分。 上述内容无缺项、无缺陷得10分，每缺少一项扣5分，每项中每有1处存在内容缺陷扣2分（内容缺陷是指存在内容与本项目需求无关、不贴合项目特点、方案内容不全面以及内容过于简单无实质性内容等情况等任意一种情形），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平台级软件系统维护能力.docx</w:t>
            </w:r>
          </w:p>
        </w:tc>
      </w:tr>
      <w:tr>
        <w:tc>
          <w:tcPr>
            <w:tcW w:type="dxa" w:w="831"/>
            <w:vMerge/>
          </w:tcPr>
          <w:p/>
        </w:tc>
        <w:tc>
          <w:tcPr>
            <w:tcW w:type="dxa" w:w="1661"/>
          </w:tcPr>
          <w:p>
            <w:pPr>
              <w:pStyle w:val="null3"/>
            </w:pPr>
            <w:r>
              <w:rPr>
                <w:rFonts w:ascii="仿宋_GB2312" w:hAnsi="仿宋_GB2312" w:cs="仿宋_GB2312" w:eastAsia="仿宋_GB2312"/>
              </w:rPr>
              <w:t>上层应用软件系统维护能力</w:t>
            </w:r>
          </w:p>
        </w:tc>
        <w:tc>
          <w:tcPr>
            <w:tcW w:type="dxa" w:w="2492"/>
          </w:tcPr>
          <w:p>
            <w:pPr>
              <w:pStyle w:val="null3"/>
            </w:pPr>
            <w:r>
              <w:rPr>
                <w:rFonts w:ascii="仿宋_GB2312" w:hAnsi="仿宋_GB2312" w:cs="仿宋_GB2312" w:eastAsia="仿宋_GB2312"/>
              </w:rPr>
              <w:t>根据投标人对本项目运行维护范围内的①无线电智能监测应用系统、②无线电自助统计分析应用、③月报专项监测应用等上层应用软件系统的维护方案与采购要求的匹配情况进行评分。 上述内容无缺项、无缺陷得12分，每缺少一项扣4分，每项中每有1处存在内容缺陷扣2分（内容缺陷是指存在内容与本项目需求无关、不贴合项目特点、方案内容不全面以及内容过于简单无实质性内容等情况等任意一种情形），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上层应用软件系统维护能力.docx</w:t>
            </w:r>
          </w:p>
        </w:tc>
      </w:tr>
      <w:tr>
        <w:tc>
          <w:tcPr>
            <w:tcW w:type="dxa" w:w="831"/>
            <w:vMerge/>
          </w:tcPr>
          <w:p/>
        </w:tc>
        <w:tc>
          <w:tcPr>
            <w:tcW w:type="dxa" w:w="1661"/>
          </w:tcPr>
          <w:p>
            <w:pPr>
              <w:pStyle w:val="null3"/>
            </w:pPr>
            <w:r>
              <w:rPr>
                <w:rFonts w:ascii="仿宋_GB2312" w:hAnsi="仿宋_GB2312" w:cs="仿宋_GB2312" w:eastAsia="仿宋_GB2312"/>
              </w:rPr>
              <w:t>运维工作方案</w:t>
            </w:r>
          </w:p>
        </w:tc>
        <w:tc>
          <w:tcPr>
            <w:tcW w:type="dxa" w:w="2492"/>
          </w:tcPr>
          <w:p>
            <w:pPr>
              <w:pStyle w:val="null3"/>
            </w:pPr>
            <w:r>
              <w:rPr>
                <w:rFonts w:ascii="仿宋_GB2312" w:hAnsi="仿宋_GB2312" w:cs="仿宋_GB2312" w:eastAsia="仿宋_GB2312"/>
              </w:rPr>
              <w:t>根据投标人对本项目提供的日常检查方案、定期巡检、故障处理、恢复和应急处理等方案与采购要求的匹配情况进行评分。 内容包括①日常检查和巡检工作程序、②故障处理、恢复和应急处理等内容。上述2项内容无缺项、无缺陷得6分，每缺少一项扣 3分，每项中每有1处存在内容缺陷扣1分（内容缺陷是指存在内容与本项目需求无关、不贴合项目特点、方案内容不全面以及内容过于简单无实质性内容等情况等任意一种情形），扣完为止。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运维工作方案.docx</w:t>
            </w:r>
          </w:p>
        </w:tc>
      </w:tr>
      <w:tr>
        <w:tc>
          <w:tcPr>
            <w:tcW w:type="dxa" w:w="831"/>
            <w:vMerge/>
          </w:tcPr>
          <w:p/>
        </w:tc>
        <w:tc>
          <w:tcPr>
            <w:tcW w:type="dxa" w:w="1661"/>
          </w:tcPr>
          <w:p>
            <w:pPr>
              <w:pStyle w:val="null3"/>
            </w:pPr>
            <w:r>
              <w:rPr>
                <w:rFonts w:ascii="仿宋_GB2312" w:hAnsi="仿宋_GB2312" w:cs="仿宋_GB2312" w:eastAsia="仿宋_GB2312"/>
              </w:rPr>
              <w:t>服务保障及响应</w:t>
            </w:r>
          </w:p>
        </w:tc>
        <w:tc>
          <w:tcPr>
            <w:tcW w:type="dxa" w:w="2492"/>
          </w:tcPr>
          <w:p>
            <w:pPr>
              <w:pStyle w:val="null3"/>
            </w:pPr>
            <w:r>
              <w:rPr>
                <w:rFonts w:ascii="仿宋_GB2312" w:hAnsi="仿宋_GB2312" w:cs="仿宋_GB2312" w:eastAsia="仿宋_GB2312"/>
              </w:rPr>
              <w:t>服务保障及响应：根据投标人提供服务保障方案（方案应包括但不限于①服务机构保障的情况、②服务团队组建、③响应时间、④提供应急服务团队技术支持方案等）与采购要求的匹配情况进行评分。 上述内容无缺项、无缺陷得6分，每缺少一项扣1.5分，每项中每有1处存在内容缺陷扣1分（内容缺陷是指存在内容与本项目需求无关、不贴合项目特点、方案内容不全面以及内容过于简单无实质性内容等情况等任意一种情形），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服务保障及响应.docx</w:t>
            </w:r>
          </w:p>
        </w:tc>
      </w:tr>
      <w:tr>
        <w:tc>
          <w:tcPr>
            <w:tcW w:type="dxa" w:w="831"/>
            <w:vMerge/>
          </w:tcPr>
          <w:p/>
        </w:tc>
        <w:tc>
          <w:tcPr>
            <w:tcW w:type="dxa" w:w="1661"/>
          </w:tcPr>
          <w:p>
            <w:pPr>
              <w:pStyle w:val="null3"/>
            </w:pPr>
            <w:r>
              <w:rPr>
                <w:rFonts w:ascii="仿宋_GB2312" w:hAnsi="仿宋_GB2312" w:cs="仿宋_GB2312" w:eastAsia="仿宋_GB2312"/>
              </w:rPr>
              <w:t>拟派团队实力</w:t>
            </w:r>
          </w:p>
        </w:tc>
        <w:tc>
          <w:tcPr>
            <w:tcW w:type="dxa" w:w="2492"/>
          </w:tcPr>
          <w:p>
            <w:pPr>
              <w:pStyle w:val="null3"/>
            </w:pPr>
            <w:r>
              <w:rPr>
                <w:rFonts w:ascii="仿宋_GB2312" w:hAnsi="仿宋_GB2312" w:cs="仿宋_GB2312" w:eastAsia="仿宋_GB2312"/>
              </w:rPr>
              <w:t>（1）项目负责人（3分）：项目负责人具有高级工程师及信息系统项目管理师（高级）证书的，得3分，未提供或提供资料不完整的不得分。（证明材料包括：身份证、学历证明、职称证书、社保证明等）。 （2）专业技术人员（6分）：针对本项目所投入人员齐备、配备合理，除项目负责人外，每提供1名具有高级职称证书的人员得 2 分，最高得 6 分。（证明材料包括：身份证、学历证明、职称证书、社保证明等）。未提供或提供资料不完整的不得分。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拟派团队实力.docx</w:t>
            </w:r>
          </w:p>
        </w:tc>
      </w:tr>
      <w:tr>
        <w:tc>
          <w:tcPr>
            <w:tcW w:type="dxa" w:w="831"/>
            <w:vMerge/>
          </w:tcPr>
          <w:p/>
        </w:tc>
        <w:tc>
          <w:tcPr>
            <w:tcW w:type="dxa" w:w="1661"/>
          </w:tcPr>
          <w:p>
            <w:pPr>
              <w:pStyle w:val="null3"/>
            </w:pPr>
            <w:r>
              <w:rPr>
                <w:rFonts w:ascii="仿宋_GB2312" w:hAnsi="仿宋_GB2312" w:cs="仿宋_GB2312" w:eastAsia="仿宋_GB2312"/>
              </w:rPr>
              <w:t>风险应急方案</w:t>
            </w:r>
          </w:p>
        </w:tc>
        <w:tc>
          <w:tcPr>
            <w:tcW w:type="dxa" w:w="2492"/>
          </w:tcPr>
          <w:p>
            <w:pPr>
              <w:pStyle w:val="null3"/>
            </w:pPr>
            <w:r>
              <w:rPr>
                <w:rFonts w:ascii="仿宋_GB2312" w:hAnsi="仿宋_GB2312" w:cs="仿宋_GB2312" w:eastAsia="仿宋_GB2312"/>
              </w:rPr>
              <w:t>投标人针对本项目编制风险应急方案，包括①技术类风险应急预案、②安全类风险应急预案等内容。上述2项内容无缺项、无缺陷得6分，每缺少一项扣3分，每项中每有1处存在内容缺陷扣1分（内容缺陷是指内容与本项目需求无关、不贴合项目特点、方案内容不全面、以及内容过于简单无实质性内容等情况等任意一种情形），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风险应急方案.docx</w:t>
            </w:r>
          </w:p>
        </w:tc>
      </w:tr>
      <w:tr>
        <w:tc>
          <w:tcPr>
            <w:tcW w:type="dxa" w:w="831"/>
            <w:vMerge/>
          </w:tcPr>
          <w:p/>
        </w:tc>
        <w:tc>
          <w:tcPr>
            <w:tcW w:type="dxa" w:w="1661"/>
          </w:tcPr>
          <w:p>
            <w:pPr>
              <w:pStyle w:val="null3"/>
            </w:pPr>
            <w:r>
              <w:rPr>
                <w:rFonts w:ascii="仿宋_GB2312" w:hAnsi="仿宋_GB2312" w:cs="仿宋_GB2312" w:eastAsia="仿宋_GB2312"/>
              </w:rPr>
              <w:t>资质情况</w:t>
            </w:r>
          </w:p>
        </w:tc>
        <w:tc>
          <w:tcPr>
            <w:tcW w:type="dxa" w:w="2492"/>
          </w:tcPr>
          <w:p>
            <w:pPr>
              <w:pStyle w:val="null3"/>
            </w:pPr>
            <w:r>
              <w:rPr>
                <w:rFonts w:ascii="仿宋_GB2312" w:hAnsi="仿宋_GB2312" w:cs="仿宋_GB2312" w:eastAsia="仿宋_GB2312"/>
              </w:rPr>
              <w:t>投标人具有以下有效期内的证书： 1.具有ISO9001质量管理体系认证、ISO20000信息技术服务管理体系认证、ISO14001环境管理体系认证、ISO27001信息安全管理体系认证证书的，每项得1分，满分4分； 2.具有信息系统安全运维服务资质认证证书（二级）的，得2分； 需提供相关证书或证明材料的复印件，并加盖投标人公章。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资质情况.docx</w:t>
            </w:r>
          </w:p>
        </w:tc>
      </w:tr>
      <w:tr>
        <w:tc>
          <w:tcPr>
            <w:tcW w:type="dxa" w:w="831"/>
            <w:vMerge/>
          </w:tcPr>
          <w:p/>
        </w:tc>
        <w:tc>
          <w:tcPr>
            <w:tcW w:type="dxa" w:w="1661"/>
          </w:tcPr>
          <w:p>
            <w:pPr>
              <w:pStyle w:val="null3"/>
            </w:pPr>
            <w:r>
              <w:rPr>
                <w:rFonts w:ascii="仿宋_GB2312" w:hAnsi="仿宋_GB2312" w:cs="仿宋_GB2312" w:eastAsia="仿宋_GB2312"/>
              </w:rPr>
              <w:t>业绩情况</w:t>
            </w:r>
          </w:p>
        </w:tc>
        <w:tc>
          <w:tcPr>
            <w:tcW w:type="dxa" w:w="2492"/>
          </w:tcPr>
          <w:p>
            <w:pPr>
              <w:pStyle w:val="null3"/>
            </w:pPr>
            <w:r>
              <w:rPr>
                <w:rFonts w:ascii="仿宋_GB2312" w:hAnsi="仿宋_GB2312" w:cs="仿宋_GB2312" w:eastAsia="仿宋_GB2312"/>
              </w:rPr>
              <w:t>投标人须提供2021年1月1日以来签订合同、且已实施完毕并验收合格的同类项目业绩，项目名称或合同中要明确体现内容。 每提供一份完整的业绩材料得2分，满分8分。 注：业绩材料需包含中标通知书、业绩合同扫描件和能够证明该业绩项目已经采购人验收合格的相关证明文件扫描件。如合同中无法体现签订时间、合同内容等关键信息的，须另附业主单位出具的证明材料扫描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详见附件：对本项目范围内现有系统的理解情况.docx</w:t>
      </w:r>
    </w:p>
    <w:p>
      <w:pPr>
        <w:pStyle w:val="null3"/>
        <w:ind w:firstLine="960"/>
      </w:pPr>
      <w:r>
        <w:rPr>
          <w:rFonts w:ascii="仿宋_GB2312" w:hAnsi="仿宋_GB2312" w:cs="仿宋_GB2312" w:eastAsia="仿宋_GB2312"/>
        </w:rPr>
        <w:t>详见附件：IT基础设施维护能力.docx</w:t>
      </w:r>
    </w:p>
    <w:p>
      <w:pPr>
        <w:pStyle w:val="null3"/>
        <w:ind w:firstLine="960"/>
      </w:pPr>
      <w:r>
        <w:rPr>
          <w:rFonts w:ascii="仿宋_GB2312" w:hAnsi="仿宋_GB2312" w:cs="仿宋_GB2312" w:eastAsia="仿宋_GB2312"/>
        </w:rPr>
        <w:t>详见附件：上层应用软件系统维护能力.docx</w:t>
      </w:r>
    </w:p>
    <w:p>
      <w:pPr>
        <w:pStyle w:val="null3"/>
        <w:ind w:firstLine="960"/>
      </w:pPr>
      <w:r>
        <w:rPr>
          <w:rFonts w:ascii="仿宋_GB2312" w:hAnsi="仿宋_GB2312" w:cs="仿宋_GB2312" w:eastAsia="仿宋_GB2312"/>
        </w:rPr>
        <w:t>详见附件：运维工作方案.docx</w:t>
      </w:r>
    </w:p>
    <w:p>
      <w:pPr>
        <w:pStyle w:val="null3"/>
        <w:ind w:firstLine="960"/>
      </w:pPr>
      <w:r>
        <w:rPr>
          <w:rFonts w:ascii="仿宋_GB2312" w:hAnsi="仿宋_GB2312" w:cs="仿宋_GB2312" w:eastAsia="仿宋_GB2312"/>
        </w:rPr>
        <w:t>详见附件：服务保障及响应.docx</w:t>
      </w:r>
    </w:p>
    <w:p>
      <w:pPr>
        <w:pStyle w:val="null3"/>
        <w:ind w:firstLine="960"/>
      </w:pPr>
      <w:r>
        <w:rPr>
          <w:rFonts w:ascii="仿宋_GB2312" w:hAnsi="仿宋_GB2312" w:cs="仿宋_GB2312" w:eastAsia="仿宋_GB2312"/>
        </w:rPr>
        <w:t>详见附件：拟派团队实力.docx</w:t>
      </w:r>
    </w:p>
    <w:p>
      <w:pPr>
        <w:pStyle w:val="null3"/>
        <w:ind w:firstLine="960"/>
      </w:pPr>
      <w:r>
        <w:rPr>
          <w:rFonts w:ascii="仿宋_GB2312" w:hAnsi="仿宋_GB2312" w:cs="仿宋_GB2312" w:eastAsia="仿宋_GB2312"/>
        </w:rPr>
        <w:t>详见附件：风险应急方案.docx</w:t>
      </w:r>
    </w:p>
    <w:p>
      <w:pPr>
        <w:pStyle w:val="null3"/>
        <w:ind w:firstLine="960"/>
      </w:pPr>
      <w:r>
        <w:rPr>
          <w:rFonts w:ascii="仿宋_GB2312" w:hAnsi="仿宋_GB2312" w:cs="仿宋_GB2312" w:eastAsia="仿宋_GB2312"/>
        </w:rPr>
        <w:t>详见附件：平台级软件系统维护能力.docx</w:t>
      </w:r>
    </w:p>
    <w:p>
      <w:pPr>
        <w:pStyle w:val="null3"/>
        <w:ind w:firstLine="960"/>
      </w:pPr>
      <w:r>
        <w:rPr>
          <w:rFonts w:ascii="仿宋_GB2312" w:hAnsi="仿宋_GB2312" w:cs="仿宋_GB2312" w:eastAsia="仿宋_GB2312"/>
        </w:rPr>
        <w:t>详见附件：资质情况.docx</w:t>
      </w:r>
    </w:p>
    <w:p>
      <w:pPr>
        <w:pStyle w:val="null3"/>
        <w:ind w:firstLine="960"/>
      </w:pPr>
      <w:r>
        <w:rPr>
          <w:rFonts w:ascii="仿宋_GB2312" w:hAnsi="仿宋_GB2312" w:cs="仿宋_GB2312" w:eastAsia="仿宋_GB2312"/>
        </w:rPr>
        <w:t>详见附件：业绩情况.docx</w:t>
      </w:r>
    </w:p>
    <w:p>
      <w:pPr>
        <w:pStyle w:val="null3"/>
        <w:ind w:firstLine="960"/>
      </w:pPr>
      <w:r>
        <w:rPr>
          <w:rFonts w:ascii="仿宋_GB2312" w:hAnsi="仿宋_GB2312" w:cs="仿宋_GB2312" w:eastAsia="仿宋_GB2312"/>
        </w:rPr>
        <w:t>详见附件：投标人认为需要提供的其他资料.docx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