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6A8CB">
      <w:pPr>
        <w:pStyle w:val="7"/>
        <w:rPr>
          <w:rFonts w:hint="default" w:ascii="仿宋_GB2312" w:hAnsi="仿宋_GB2312" w:eastAsia="仿宋_GB2312" w:cs="仿宋_GB2312"/>
          <w:color w:val="auto"/>
          <w:lang w:eastAsia="zh-CN"/>
        </w:rPr>
      </w:pPr>
      <w:r>
        <w:rPr>
          <w:rFonts w:ascii="仿宋_GB2312" w:hAnsi="仿宋_GB2312" w:eastAsia="仿宋_GB2312" w:cs="仿宋_GB2312"/>
          <w:color w:val="auto"/>
          <w:lang w:eastAsia="zh-CN"/>
        </w:rPr>
        <w:t>（参考合同，具体按照学校模版签订）</w:t>
      </w:r>
    </w:p>
    <w:p w14:paraId="34D221F1">
      <w:pPr>
        <w:pStyle w:val="7"/>
        <w:rPr>
          <w:rFonts w:hint="default" w:ascii="仿宋_GB2312" w:hAnsi="仿宋_GB2312" w:eastAsia="仿宋_GB2312" w:cs="仿宋_GB2312"/>
          <w:color w:val="auto"/>
        </w:rPr>
      </w:pPr>
    </w:p>
    <w:p w14:paraId="06905012">
      <w:pPr>
        <w:pStyle w:val="7"/>
        <w:rPr>
          <w:rFonts w:hint="default" w:ascii="仿宋_GB2312" w:hAnsi="仿宋_GB2312" w:eastAsia="仿宋_GB2312" w:cs="仿宋_GB2312"/>
          <w:color w:val="auto"/>
        </w:rPr>
      </w:pPr>
    </w:p>
    <w:p w14:paraId="702D5792">
      <w:pPr>
        <w:pStyle w:val="7"/>
        <w:rPr>
          <w:rFonts w:hint="default" w:ascii="仿宋_GB2312" w:hAnsi="仿宋_GB2312" w:eastAsia="仿宋_GB2312" w:cs="仿宋_GB2312"/>
          <w:color w:val="auto"/>
        </w:rPr>
      </w:pPr>
    </w:p>
    <w:p w14:paraId="3864B768">
      <w:pPr>
        <w:widowControl/>
        <w:shd w:val="clear" w:color="auto" w:fill="FFFFFF"/>
        <w:spacing w:line="360" w:lineRule="auto"/>
        <w:ind w:firstLine="1325" w:firstLineChars="300"/>
        <w:textAlignment w:val="baseline"/>
        <w:rPr>
          <w:rFonts w:hint="eastAsia" w:ascii="宋体" w:hAnsi="宋体"/>
          <w:color w:val="auto"/>
          <w:sz w:val="44"/>
          <w:szCs w:val="44"/>
        </w:rPr>
      </w:pPr>
      <w:r>
        <w:rPr>
          <w:rFonts w:hint="eastAsia" w:ascii="宋体" w:hAnsi="宋体"/>
          <w:b/>
          <w:color w:val="auto"/>
          <w:kern w:val="0"/>
          <w:sz w:val="44"/>
          <w:szCs w:val="44"/>
          <w:u w:val="single"/>
          <w:shd w:val="clear" w:color="auto" w:fill="FFFFFF"/>
        </w:rPr>
        <w:t xml:space="preserve">                </w:t>
      </w:r>
      <w:r>
        <w:rPr>
          <w:rFonts w:hint="eastAsia" w:ascii="宋体" w:hAnsi="宋体"/>
          <w:b/>
          <w:color w:val="auto"/>
          <w:kern w:val="0"/>
          <w:sz w:val="44"/>
          <w:szCs w:val="44"/>
          <w:shd w:val="clear" w:color="auto" w:fill="FFFFFF"/>
        </w:rPr>
        <w:t>合同</w:t>
      </w:r>
    </w:p>
    <w:p w14:paraId="0ADCCFF3">
      <w:pPr>
        <w:widowControl/>
        <w:shd w:val="clear" w:color="auto" w:fill="FFFFFF"/>
        <w:spacing w:line="360" w:lineRule="auto"/>
        <w:jc w:val="center"/>
        <w:textAlignment w:val="baseline"/>
        <w:rPr>
          <w:rFonts w:hint="eastAsia" w:ascii="宋体" w:hAnsi="宋体"/>
          <w:color w:val="auto"/>
          <w:sz w:val="32"/>
          <w:szCs w:val="32"/>
        </w:rPr>
      </w:pPr>
      <w:r>
        <w:rPr>
          <w:rFonts w:hint="eastAsia" w:ascii="宋体" w:hAnsi="宋体"/>
          <w:b/>
          <w:color w:val="auto"/>
          <w:kern w:val="0"/>
          <w:sz w:val="32"/>
          <w:szCs w:val="32"/>
          <w:shd w:val="clear" w:color="auto" w:fill="FFFFFF"/>
        </w:rPr>
        <w:t> </w:t>
      </w:r>
    </w:p>
    <w:p w14:paraId="54225579">
      <w:pPr>
        <w:widowControl/>
        <w:shd w:val="clear" w:color="auto" w:fill="FFFFFF"/>
        <w:spacing w:line="360" w:lineRule="auto"/>
        <w:ind w:firstLine="5760" w:firstLineChars="1800"/>
        <w:textAlignment w:val="baseline"/>
        <w:rPr>
          <w:rFonts w:hint="eastAsia" w:ascii="宋体" w:hAnsi="宋体"/>
          <w:color w:val="auto"/>
          <w:sz w:val="32"/>
          <w:szCs w:val="32"/>
        </w:rPr>
      </w:pPr>
      <w:r>
        <w:rPr>
          <w:rFonts w:hint="eastAsia" w:ascii="宋体" w:hAnsi="宋体"/>
          <w:color w:val="auto"/>
          <w:kern w:val="0"/>
          <w:sz w:val="32"/>
          <w:szCs w:val="32"/>
          <w:shd w:val="clear" w:color="auto" w:fill="FFFFFF"/>
        </w:rPr>
        <w:t>合同编号：</w:t>
      </w:r>
    </w:p>
    <w:p w14:paraId="4435E5A3">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62B78085">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34CA5425">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510AE383">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29C6EACA">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4F2A04D3">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1A07EA65">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3CB7F311">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00988463">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5879DE58">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53AE210B">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761B853B">
      <w:pPr>
        <w:widowControl/>
        <w:shd w:val="clear" w:color="auto" w:fill="FFFFFF"/>
        <w:spacing w:line="360" w:lineRule="auto"/>
        <w:jc w:val="center"/>
        <w:textAlignment w:val="baseline"/>
        <w:rPr>
          <w:rFonts w:hint="eastAsia" w:ascii="宋体" w:hAnsi="宋体"/>
          <w:color w:val="auto"/>
          <w:sz w:val="32"/>
          <w:szCs w:val="32"/>
        </w:rPr>
      </w:pPr>
      <w:bookmarkStart w:id="0" w:name="_GoBack"/>
      <w:bookmarkEnd w:id="0"/>
      <w:r>
        <w:rPr>
          <w:rFonts w:hint="eastAsia" w:ascii="宋体" w:hAnsi="宋体"/>
          <w:b/>
          <w:color w:val="auto"/>
          <w:kern w:val="0"/>
          <w:sz w:val="32"/>
          <w:szCs w:val="32"/>
          <w:shd w:val="clear" w:color="auto" w:fill="FFFFFF"/>
        </w:rPr>
        <w:t> </w:t>
      </w:r>
    </w:p>
    <w:p w14:paraId="18D31C47">
      <w:pPr>
        <w:widowControl/>
        <w:shd w:val="clear" w:color="auto" w:fill="FFFFFF"/>
        <w:spacing w:line="360" w:lineRule="auto"/>
        <w:ind w:firstLine="1680" w:firstLineChars="600"/>
        <w:textAlignment w:val="baseline"/>
        <w:rPr>
          <w:rFonts w:hint="eastAsia" w:ascii="宋体" w:hAnsi="宋体"/>
          <w:bCs/>
          <w:color w:val="auto"/>
          <w:kern w:val="0"/>
          <w:sz w:val="28"/>
          <w:szCs w:val="28"/>
          <w:u w:val="single"/>
          <w:shd w:val="clear" w:color="auto" w:fill="FFFFFF"/>
        </w:rPr>
      </w:pPr>
      <w:r>
        <w:rPr>
          <w:rFonts w:hint="eastAsia" w:ascii="宋体" w:hAnsi="宋体"/>
          <w:bCs/>
          <w:color w:val="auto"/>
          <w:kern w:val="0"/>
          <w:sz w:val="28"/>
          <w:szCs w:val="28"/>
          <w:u w:val="single"/>
          <w:shd w:val="clear" w:color="auto" w:fill="FFFFFF"/>
        </w:rPr>
        <w:t xml:space="preserve">甲方：        </w:t>
      </w:r>
      <w:r>
        <w:rPr>
          <w:rFonts w:hint="eastAsia" w:ascii="宋体" w:hAnsi="宋体"/>
          <w:bCs/>
          <w:color w:val="auto"/>
          <w:kern w:val="0"/>
          <w:sz w:val="28"/>
          <w:szCs w:val="28"/>
          <w:u w:val="single"/>
          <w:shd w:val="clear" w:color="auto" w:fill="FFFFFF"/>
        </w:rPr>
        <w:tab/>
      </w:r>
      <w:r>
        <w:rPr>
          <w:rFonts w:hint="eastAsia" w:ascii="宋体" w:hAnsi="宋体"/>
          <w:bCs/>
          <w:color w:val="auto"/>
          <w:kern w:val="0"/>
          <w:sz w:val="28"/>
          <w:szCs w:val="28"/>
          <w:u w:val="single"/>
          <w:shd w:val="clear" w:color="auto" w:fill="FFFFFF"/>
        </w:rPr>
        <w:t xml:space="preserve">             </w:t>
      </w:r>
    </w:p>
    <w:p w14:paraId="75F087C3">
      <w:pPr>
        <w:widowControl/>
        <w:shd w:val="clear" w:color="auto" w:fill="FFFFFF"/>
        <w:spacing w:line="360" w:lineRule="auto"/>
        <w:ind w:firstLine="1680" w:firstLineChars="600"/>
        <w:textAlignment w:val="baseline"/>
        <w:rPr>
          <w:rFonts w:hint="eastAsia" w:ascii="宋体" w:hAnsi="宋体"/>
          <w:bCs/>
          <w:color w:val="auto"/>
          <w:kern w:val="0"/>
          <w:sz w:val="28"/>
          <w:szCs w:val="28"/>
          <w:u w:val="single"/>
          <w:shd w:val="clear" w:color="auto" w:fill="FFFFFF"/>
        </w:rPr>
      </w:pPr>
      <w:r>
        <w:rPr>
          <w:rFonts w:hint="eastAsia" w:ascii="宋体" w:hAnsi="宋体"/>
          <w:bCs/>
          <w:color w:val="auto"/>
          <w:kern w:val="0"/>
          <w:sz w:val="28"/>
          <w:szCs w:val="28"/>
          <w:u w:val="single"/>
          <w:shd w:val="clear" w:color="auto" w:fill="FFFFFF"/>
        </w:rPr>
        <w:t xml:space="preserve">乙方：                      </w:t>
      </w:r>
    </w:p>
    <w:p w14:paraId="279537FB">
      <w:pPr>
        <w:widowControl/>
        <w:shd w:val="clear" w:color="auto" w:fill="FFFFFF"/>
        <w:spacing w:line="360" w:lineRule="auto"/>
        <w:ind w:firstLine="1680" w:firstLineChars="600"/>
        <w:textAlignment w:val="baseline"/>
        <w:rPr>
          <w:rFonts w:hint="eastAsia" w:ascii="宋体" w:hAnsi="宋体"/>
          <w:bCs/>
          <w:color w:val="auto"/>
          <w:kern w:val="0"/>
          <w:sz w:val="28"/>
          <w:szCs w:val="28"/>
          <w:u w:val="single"/>
          <w:shd w:val="clear" w:color="auto" w:fill="FFFFFF"/>
        </w:rPr>
      </w:pPr>
      <w:r>
        <w:rPr>
          <w:rFonts w:hint="eastAsia" w:ascii="宋体" w:hAnsi="宋体"/>
          <w:bCs/>
          <w:color w:val="auto"/>
          <w:kern w:val="0"/>
          <w:sz w:val="28"/>
          <w:szCs w:val="28"/>
          <w:u w:val="single"/>
          <w:shd w:val="clear" w:color="auto" w:fill="FFFFFF"/>
        </w:rPr>
        <w:t xml:space="preserve">签订时间：                  </w:t>
      </w:r>
    </w:p>
    <w:p w14:paraId="229160A4">
      <w:pPr>
        <w:widowControl/>
        <w:shd w:val="clear" w:color="auto" w:fill="FFFFFF"/>
        <w:spacing w:line="360" w:lineRule="auto"/>
        <w:ind w:firstLine="1680" w:firstLineChars="600"/>
        <w:textAlignment w:val="baseline"/>
        <w:rPr>
          <w:rFonts w:hint="eastAsia" w:ascii="宋体" w:hAnsi="宋体"/>
          <w:b/>
          <w:color w:val="auto"/>
          <w:kern w:val="0"/>
          <w:sz w:val="28"/>
          <w:szCs w:val="28"/>
          <w:u w:val="single"/>
          <w:shd w:val="clear" w:color="auto" w:fill="FFFFFF"/>
        </w:rPr>
      </w:pPr>
      <w:r>
        <w:rPr>
          <w:rFonts w:hint="eastAsia" w:ascii="宋体" w:hAnsi="宋体"/>
          <w:bCs/>
          <w:color w:val="auto"/>
          <w:kern w:val="0"/>
          <w:sz w:val="28"/>
          <w:szCs w:val="28"/>
          <w:u w:val="single"/>
          <w:shd w:val="clear" w:color="auto" w:fill="FFFFFF"/>
        </w:rPr>
        <w:t xml:space="preserve">签订地点：                  </w:t>
      </w:r>
    </w:p>
    <w:p w14:paraId="3E353FDB">
      <w:pPr>
        <w:widowControl/>
        <w:shd w:val="clear" w:color="auto" w:fill="FFFFFF"/>
        <w:spacing w:line="360" w:lineRule="auto"/>
        <w:jc w:val="center"/>
        <w:textAlignment w:val="baseline"/>
        <w:rPr>
          <w:rFonts w:hint="eastAsia" w:ascii="宋体" w:hAnsi="宋体"/>
          <w:b/>
          <w:color w:val="auto"/>
          <w:kern w:val="0"/>
          <w:sz w:val="32"/>
          <w:szCs w:val="32"/>
          <w:u w:val="single"/>
          <w:shd w:val="clear" w:color="auto" w:fill="FFFFFF"/>
        </w:rPr>
      </w:pPr>
    </w:p>
    <w:p w14:paraId="1BDF8AF4">
      <w:pPr>
        <w:widowControl/>
        <w:shd w:val="clear" w:color="auto" w:fill="FFFFFF"/>
        <w:spacing w:line="360" w:lineRule="auto"/>
        <w:ind w:firstLine="560"/>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根据《中华人民共和国民法典》、《中华人民共和国政府采购法》及相关法律法规的有关规定，遵循平等、自愿、公平和诚实信用原则，甲、乙双方就</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事项，经协商一致，订立本合同。</w:t>
      </w:r>
    </w:p>
    <w:p w14:paraId="69E276AC">
      <w:pPr>
        <w:spacing w:line="360" w:lineRule="auto"/>
        <w:rPr>
          <w:rFonts w:hint="eastAsia" w:ascii="仿宋" w:hAnsi="仿宋" w:eastAsia="仿宋" w:cs="仿宋"/>
          <w:bCs/>
          <w:color w:val="auto"/>
          <w:sz w:val="20"/>
          <w:szCs w:val="20"/>
        </w:rPr>
      </w:pPr>
      <w:r>
        <w:rPr>
          <w:rFonts w:hint="eastAsia" w:ascii="仿宋" w:hAnsi="仿宋" w:eastAsia="仿宋" w:cs="仿宋"/>
          <w:bCs/>
          <w:color w:val="auto"/>
          <w:sz w:val="20"/>
          <w:szCs w:val="20"/>
        </w:rPr>
        <w:t>一、合同内容</w:t>
      </w:r>
    </w:p>
    <w:p w14:paraId="2FEFA1FE">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支付乙方相应的货款。</w:t>
      </w:r>
    </w:p>
    <w:p w14:paraId="17264A45">
      <w:pPr>
        <w:spacing w:line="360" w:lineRule="auto"/>
        <w:ind w:left="555"/>
        <w:rPr>
          <w:rFonts w:hint="eastAsia" w:ascii="仿宋" w:hAnsi="仿宋" w:eastAsia="仿宋" w:cs="仿宋"/>
          <w:color w:val="auto"/>
          <w:sz w:val="20"/>
          <w:szCs w:val="20"/>
        </w:rPr>
      </w:pPr>
      <w:r>
        <w:rPr>
          <w:rFonts w:hint="eastAsia" w:ascii="仿宋" w:hAnsi="仿宋" w:eastAsia="仿宋" w:cs="仿宋"/>
          <w:color w:val="auto"/>
          <w:sz w:val="20"/>
          <w:szCs w:val="20"/>
        </w:rPr>
        <w:t>1.购置清单（人民币）</w:t>
      </w:r>
    </w:p>
    <w:tbl>
      <w:tblPr>
        <w:tblStyle w:val="5"/>
        <w:tblW w:w="858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55"/>
        <w:gridCol w:w="924"/>
        <w:gridCol w:w="1344"/>
        <w:gridCol w:w="1559"/>
        <w:gridCol w:w="708"/>
        <w:gridCol w:w="709"/>
        <w:gridCol w:w="1781"/>
      </w:tblGrid>
      <w:tr w14:paraId="1C917D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32FBE700">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产品名称</w:t>
            </w:r>
          </w:p>
        </w:tc>
        <w:tc>
          <w:tcPr>
            <w:tcW w:w="924" w:type="dxa"/>
            <w:tcBorders>
              <w:top w:val="single" w:color="auto" w:sz="4" w:space="0"/>
              <w:left w:val="single" w:color="auto" w:sz="4" w:space="0"/>
              <w:bottom w:val="single" w:color="auto" w:sz="4" w:space="0"/>
              <w:right w:val="single" w:color="auto" w:sz="4" w:space="0"/>
            </w:tcBorders>
            <w:vAlign w:val="center"/>
          </w:tcPr>
          <w:p w14:paraId="04D9ABBE">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品牌</w:t>
            </w:r>
          </w:p>
        </w:tc>
        <w:tc>
          <w:tcPr>
            <w:tcW w:w="1344" w:type="dxa"/>
            <w:tcBorders>
              <w:top w:val="single" w:color="auto" w:sz="4" w:space="0"/>
              <w:left w:val="single" w:color="auto" w:sz="4" w:space="0"/>
              <w:bottom w:val="single" w:color="auto" w:sz="4" w:space="0"/>
              <w:right w:val="single" w:color="auto" w:sz="4" w:space="0"/>
            </w:tcBorders>
            <w:vAlign w:val="center"/>
          </w:tcPr>
          <w:p w14:paraId="2D9E491A">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规格型号</w:t>
            </w:r>
          </w:p>
        </w:tc>
        <w:tc>
          <w:tcPr>
            <w:tcW w:w="1559" w:type="dxa"/>
            <w:tcBorders>
              <w:top w:val="single" w:color="auto" w:sz="4" w:space="0"/>
              <w:left w:val="single" w:color="auto" w:sz="4" w:space="0"/>
              <w:bottom w:val="single" w:color="auto" w:sz="4" w:space="0"/>
              <w:right w:val="single" w:color="auto" w:sz="4" w:space="0"/>
            </w:tcBorders>
            <w:vAlign w:val="center"/>
          </w:tcPr>
          <w:p w14:paraId="2C674350">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单价（元）</w:t>
            </w:r>
          </w:p>
        </w:tc>
        <w:tc>
          <w:tcPr>
            <w:tcW w:w="708" w:type="dxa"/>
            <w:tcBorders>
              <w:top w:val="single" w:color="auto" w:sz="4" w:space="0"/>
              <w:left w:val="single" w:color="auto" w:sz="4" w:space="0"/>
              <w:bottom w:val="single" w:color="auto" w:sz="4" w:space="0"/>
              <w:right w:val="single" w:color="auto" w:sz="4" w:space="0"/>
            </w:tcBorders>
            <w:vAlign w:val="center"/>
          </w:tcPr>
          <w:p w14:paraId="108E17E0">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数量</w:t>
            </w:r>
          </w:p>
        </w:tc>
        <w:tc>
          <w:tcPr>
            <w:tcW w:w="709" w:type="dxa"/>
            <w:tcBorders>
              <w:top w:val="single" w:color="auto" w:sz="4" w:space="0"/>
              <w:left w:val="single" w:color="auto" w:sz="4" w:space="0"/>
              <w:bottom w:val="single" w:color="auto" w:sz="4" w:space="0"/>
              <w:right w:val="single" w:color="auto" w:sz="4" w:space="0"/>
            </w:tcBorders>
            <w:vAlign w:val="center"/>
          </w:tcPr>
          <w:p w14:paraId="3636AE9D">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单位</w:t>
            </w:r>
          </w:p>
        </w:tc>
        <w:tc>
          <w:tcPr>
            <w:tcW w:w="1781" w:type="dxa"/>
            <w:tcBorders>
              <w:top w:val="single" w:color="auto" w:sz="4" w:space="0"/>
              <w:left w:val="single" w:color="auto" w:sz="4" w:space="0"/>
              <w:bottom w:val="single" w:color="auto" w:sz="4" w:space="0"/>
              <w:right w:val="single" w:color="auto" w:sz="4" w:space="0"/>
            </w:tcBorders>
            <w:vAlign w:val="center"/>
          </w:tcPr>
          <w:p w14:paraId="6AD58663">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小计（元）</w:t>
            </w:r>
          </w:p>
        </w:tc>
      </w:tr>
      <w:tr w14:paraId="72D9A1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555" w:type="dxa"/>
            <w:tcBorders>
              <w:top w:val="single" w:color="auto" w:sz="4" w:space="0"/>
              <w:left w:val="single" w:color="auto" w:sz="4" w:space="0"/>
              <w:bottom w:val="single" w:color="auto" w:sz="4" w:space="0"/>
              <w:right w:val="single" w:color="auto" w:sz="4" w:space="0"/>
            </w:tcBorders>
          </w:tcPr>
          <w:p w14:paraId="148862F5">
            <w:pPr>
              <w:spacing w:line="360" w:lineRule="auto"/>
              <w:rPr>
                <w:rFonts w:hint="eastAsia" w:ascii="仿宋" w:hAnsi="仿宋" w:eastAsia="仿宋" w:cs="仿宋"/>
                <w:color w:val="auto"/>
                <w:sz w:val="20"/>
                <w:szCs w:val="20"/>
              </w:rPr>
            </w:pPr>
          </w:p>
        </w:tc>
        <w:tc>
          <w:tcPr>
            <w:tcW w:w="924" w:type="dxa"/>
            <w:tcBorders>
              <w:top w:val="single" w:color="auto" w:sz="4" w:space="0"/>
              <w:left w:val="single" w:color="auto" w:sz="4" w:space="0"/>
              <w:bottom w:val="single" w:color="auto" w:sz="4" w:space="0"/>
              <w:right w:val="single" w:color="auto" w:sz="4" w:space="0"/>
            </w:tcBorders>
          </w:tcPr>
          <w:p w14:paraId="4F49011B">
            <w:pPr>
              <w:spacing w:line="360" w:lineRule="auto"/>
              <w:rPr>
                <w:rFonts w:hint="eastAsia" w:ascii="仿宋" w:hAnsi="仿宋" w:eastAsia="仿宋" w:cs="仿宋"/>
                <w:color w:val="auto"/>
                <w:sz w:val="20"/>
                <w:szCs w:val="20"/>
              </w:rPr>
            </w:pPr>
          </w:p>
        </w:tc>
        <w:tc>
          <w:tcPr>
            <w:tcW w:w="1344" w:type="dxa"/>
            <w:tcBorders>
              <w:top w:val="single" w:color="auto" w:sz="4" w:space="0"/>
              <w:left w:val="single" w:color="auto" w:sz="4" w:space="0"/>
              <w:bottom w:val="single" w:color="auto" w:sz="4" w:space="0"/>
              <w:right w:val="single" w:color="auto" w:sz="4" w:space="0"/>
            </w:tcBorders>
          </w:tcPr>
          <w:p w14:paraId="3EBC5A2D">
            <w:pPr>
              <w:spacing w:line="360" w:lineRule="auto"/>
              <w:rPr>
                <w:rFonts w:hint="eastAsia" w:ascii="仿宋" w:hAnsi="仿宋" w:eastAsia="仿宋" w:cs="仿宋"/>
                <w:color w:val="auto"/>
                <w:sz w:val="20"/>
                <w:szCs w:val="20"/>
              </w:rPr>
            </w:pPr>
          </w:p>
        </w:tc>
        <w:tc>
          <w:tcPr>
            <w:tcW w:w="1559" w:type="dxa"/>
            <w:tcBorders>
              <w:top w:val="single" w:color="auto" w:sz="4" w:space="0"/>
              <w:left w:val="single" w:color="auto" w:sz="4" w:space="0"/>
              <w:bottom w:val="single" w:color="auto" w:sz="4" w:space="0"/>
              <w:right w:val="single" w:color="auto" w:sz="4" w:space="0"/>
            </w:tcBorders>
          </w:tcPr>
          <w:p w14:paraId="5ADC435E">
            <w:pPr>
              <w:spacing w:line="360" w:lineRule="auto"/>
              <w:rPr>
                <w:rFonts w:hint="eastAsia" w:ascii="仿宋" w:hAnsi="仿宋" w:eastAsia="仿宋" w:cs="仿宋"/>
                <w:color w:val="auto"/>
                <w:sz w:val="20"/>
                <w:szCs w:val="20"/>
              </w:rPr>
            </w:pPr>
          </w:p>
        </w:tc>
        <w:tc>
          <w:tcPr>
            <w:tcW w:w="708" w:type="dxa"/>
            <w:tcBorders>
              <w:top w:val="single" w:color="auto" w:sz="4" w:space="0"/>
              <w:left w:val="single" w:color="auto" w:sz="4" w:space="0"/>
              <w:bottom w:val="single" w:color="auto" w:sz="4" w:space="0"/>
              <w:right w:val="single" w:color="auto" w:sz="4" w:space="0"/>
            </w:tcBorders>
          </w:tcPr>
          <w:p w14:paraId="4F1150E1">
            <w:pPr>
              <w:spacing w:line="360" w:lineRule="auto"/>
              <w:rPr>
                <w:rFonts w:hint="eastAsia" w:ascii="仿宋" w:hAnsi="仿宋" w:eastAsia="仿宋" w:cs="仿宋"/>
                <w:color w:val="auto"/>
                <w:sz w:val="20"/>
                <w:szCs w:val="20"/>
              </w:rPr>
            </w:pPr>
          </w:p>
        </w:tc>
        <w:tc>
          <w:tcPr>
            <w:tcW w:w="709" w:type="dxa"/>
            <w:tcBorders>
              <w:top w:val="single" w:color="auto" w:sz="4" w:space="0"/>
              <w:left w:val="single" w:color="auto" w:sz="4" w:space="0"/>
              <w:bottom w:val="single" w:color="auto" w:sz="4" w:space="0"/>
              <w:right w:val="single" w:color="auto" w:sz="4" w:space="0"/>
            </w:tcBorders>
          </w:tcPr>
          <w:p w14:paraId="66589882">
            <w:pPr>
              <w:spacing w:line="360" w:lineRule="auto"/>
              <w:rPr>
                <w:rFonts w:hint="eastAsia" w:ascii="仿宋" w:hAnsi="仿宋" w:eastAsia="仿宋" w:cs="仿宋"/>
                <w:color w:val="auto"/>
                <w:sz w:val="20"/>
                <w:szCs w:val="20"/>
              </w:rPr>
            </w:pPr>
          </w:p>
        </w:tc>
        <w:tc>
          <w:tcPr>
            <w:tcW w:w="1781" w:type="dxa"/>
            <w:tcBorders>
              <w:top w:val="single" w:color="auto" w:sz="4" w:space="0"/>
              <w:left w:val="single" w:color="auto" w:sz="4" w:space="0"/>
              <w:bottom w:val="single" w:color="auto" w:sz="4" w:space="0"/>
              <w:right w:val="single" w:color="auto" w:sz="4" w:space="0"/>
            </w:tcBorders>
          </w:tcPr>
          <w:p w14:paraId="6FDFAC15">
            <w:pPr>
              <w:spacing w:line="360" w:lineRule="auto"/>
              <w:rPr>
                <w:rFonts w:hint="eastAsia" w:ascii="仿宋" w:hAnsi="仿宋" w:eastAsia="仿宋" w:cs="仿宋"/>
                <w:color w:val="auto"/>
                <w:sz w:val="20"/>
                <w:szCs w:val="20"/>
              </w:rPr>
            </w:pPr>
          </w:p>
        </w:tc>
      </w:tr>
      <w:tr w14:paraId="280CBA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555" w:type="dxa"/>
            <w:tcBorders>
              <w:top w:val="single" w:color="auto" w:sz="4" w:space="0"/>
              <w:left w:val="single" w:color="auto" w:sz="4" w:space="0"/>
              <w:bottom w:val="single" w:color="auto" w:sz="4" w:space="0"/>
              <w:right w:val="single" w:color="auto" w:sz="4" w:space="0"/>
            </w:tcBorders>
          </w:tcPr>
          <w:p w14:paraId="220E1AF5">
            <w:pPr>
              <w:spacing w:line="360" w:lineRule="auto"/>
              <w:rPr>
                <w:rFonts w:hint="eastAsia" w:ascii="仿宋" w:hAnsi="仿宋" w:eastAsia="仿宋" w:cs="仿宋"/>
                <w:color w:val="auto"/>
                <w:sz w:val="20"/>
                <w:szCs w:val="20"/>
              </w:rPr>
            </w:pPr>
          </w:p>
        </w:tc>
        <w:tc>
          <w:tcPr>
            <w:tcW w:w="924" w:type="dxa"/>
            <w:tcBorders>
              <w:top w:val="single" w:color="auto" w:sz="4" w:space="0"/>
              <w:left w:val="single" w:color="auto" w:sz="4" w:space="0"/>
              <w:bottom w:val="single" w:color="auto" w:sz="4" w:space="0"/>
              <w:right w:val="single" w:color="auto" w:sz="4" w:space="0"/>
            </w:tcBorders>
          </w:tcPr>
          <w:p w14:paraId="122CF8F5">
            <w:pPr>
              <w:spacing w:line="360" w:lineRule="auto"/>
              <w:rPr>
                <w:rFonts w:hint="eastAsia" w:ascii="仿宋" w:hAnsi="仿宋" w:eastAsia="仿宋" w:cs="仿宋"/>
                <w:color w:val="auto"/>
                <w:sz w:val="20"/>
                <w:szCs w:val="20"/>
              </w:rPr>
            </w:pPr>
          </w:p>
        </w:tc>
        <w:tc>
          <w:tcPr>
            <w:tcW w:w="1344" w:type="dxa"/>
            <w:tcBorders>
              <w:top w:val="single" w:color="auto" w:sz="4" w:space="0"/>
              <w:left w:val="single" w:color="auto" w:sz="4" w:space="0"/>
              <w:bottom w:val="single" w:color="auto" w:sz="4" w:space="0"/>
              <w:right w:val="single" w:color="auto" w:sz="4" w:space="0"/>
            </w:tcBorders>
          </w:tcPr>
          <w:p w14:paraId="62577B36">
            <w:pPr>
              <w:spacing w:line="360" w:lineRule="auto"/>
              <w:rPr>
                <w:rFonts w:hint="eastAsia" w:ascii="仿宋" w:hAnsi="仿宋" w:eastAsia="仿宋" w:cs="仿宋"/>
                <w:color w:val="auto"/>
                <w:sz w:val="20"/>
                <w:szCs w:val="20"/>
              </w:rPr>
            </w:pPr>
          </w:p>
        </w:tc>
        <w:tc>
          <w:tcPr>
            <w:tcW w:w="1559" w:type="dxa"/>
            <w:tcBorders>
              <w:top w:val="single" w:color="auto" w:sz="4" w:space="0"/>
              <w:left w:val="single" w:color="auto" w:sz="4" w:space="0"/>
              <w:bottom w:val="single" w:color="auto" w:sz="4" w:space="0"/>
              <w:right w:val="single" w:color="auto" w:sz="4" w:space="0"/>
            </w:tcBorders>
          </w:tcPr>
          <w:p w14:paraId="511EA6E6">
            <w:pPr>
              <w:spacing w:line="360" w:lineRule="auto"/>
              <w:rPr>
                <w:rFonts w:hint="eastAsia" w:ascii="仿宋" w:hAnsi="仿宋" w:eastAsia="仿宋" w:cs="仿宋"/>
                <w:color w:val="auto"/>
                <w:sz w:val="20"/>
                <w:szCs w:val="20"/>
              </w:rPr>
            </w:pPr>
          </w:p>
        </w:tc>
        <w:tc>
          <w:tcPr>
            <w:tcW w:w="708" w:type="dxa"/>
            <w:tcBorders>
              <w:top w:val="single" w:color="auto" w:sz="4" w:space="0"/>
              <w:left w:val="single" w:color="auto" w:sz="4" w:space="0"/>
              <w:bottom w:val="single" w:color="auto" w:sz="4" w:space="0"/>
              <w:right w:val="single" w:color="auto" w:sz="4" w:space="0"/>
            </w:tcBorders>
          </w:tcPr>
          <w:p w14:paraId="1FF5AF0E">
            <w:pPr>
              <w:spacing w:line="360" w:lineRule="auto"/>
              <w:rPr>
                <w:rFonts w:hint="eastAsia" w:ascii="仿宋" w:hAnsi="仿宋" w:eastAsia="仿宋" w:cs="仿宋"/>
                <w:color w:val="auto"/>
                <w:sz w:val="20"/>
                <w:szCs w:val="20"/>
              </w:rPr>
            </w:pPr>
          </w:p>
        </w:tc>
        <w:tc>
          <w:tcPr>
            <w:tcW w:w="709" w:type="dxa"/>
            <w:tcBorders>
              <w:top w:val="single" w:color="auto" w:sz="4" w:space="0"/>
              <w:left w:val="single" w:color="auto" w:sz="4" w:space="0"/>
              <w:bottom w:val="single" w:color="auto" w:sz="4" w:space="0"/>
              <w:right w:val="single" w:color="auto" w:sz="4" w:space="0"/>
            </w:tcBorders>
          </w:tcPr>
          <w:p w14:paraId="2F497C56">
            <w:pPr>
              <w:spacing w:line="360" w:lineRule="auto"/>
              <w:rPr>
                <w:rFonts w:hint="eastAsia" w:ascii="仿宋" w:hAnsi="仿宋" w:eastAsia="仿宋" w:cs="仿宋"/>
                <w:color w:val="auto"/>
                <w:sz w:val="20"/>
                <w:szCs w:val="20"/>
              </w:rPr>
            </w:pPr>
          </w:p>
        </w:tc>
        <w:tc>
          <w:tcPr>
            <w:tcW w:w="1781" w:type="dxa"/>
            <w:tcBorders>
              <w:top w:val="single" w:color="auto" w:sz="4" w:space="0"/>
              <w:left w:val="single" w:color="auto" w:sz="4" w:space="0"/>
              <w:bottom w:val="single" w:color="auto" w:sz="4" w:space="0"/>
              <w:right w:val="single" w:color="auto" w:sz="4" w:space="0"/>
            </w:tcBorders>
          </w:tcPr>
          <w:p w14:paraId="3133B753">
            <w:pPr>
              <w:spacing w:line="360" w:lineRule="auto"/>
              <w:rPr>
                <w:rFonts w:hint="eastAsia" w:ascii="仿宋" w:hAnsi="仿宋" w:eastAsia="仿宋" w:cs="仿宋"/>
                <w:color w:val="auto"/>
                <w:sz w:val="20"/>
                <w:szCs w:val="20"/>
              </w:rPr>
            </w:pPr>
          </w:p>
        </w:tc>
      </w:tr>
      <w:tr w14:paraId="6BF150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8580" w:type="dxa"/>
            <w:gridSpan w:val="7"/>
            <w:tcBorders>
              <w:top w:val="single" w:color="auto" w:sz="4" w:space="0"/>
              <w:left w:val="single" w:color="auto" w:sz="4" w:space="0"/>
              <w:bottom w:val="single" w:color="auto" w:sz="4" w:space="0"/>
              <w:right w:val="single" w:color="auto" w:sz="4" w:space="0"/>
            </w:tcBorders>
            <w:vAlign w:val="center"/>
          </w:tcPr>
          <w:p w14:paraId="0B6CE747">
            <w:pPr>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合计金额（大写）：</w:t>
            </w:r>
            <w:r>
              <w:rPr>
                <w:rFonts w:hint="eastAsia" w:ascii="仿宋" w:hAnsi="仿宋" w:eastAsia="仿宋" w:cs="仿宋"/>
                <w:color w:val="auto"/>
                <w:sz w:val="20"/>
                <w:szCs w:val="20"/>
                <w:u w:val="single"/>
              </w:rPr>
              <w:t xml:space="preserve">            元整 （￥        ）（含税）</w:t>
            </w:r>
          </w:p>
        </w:tc>
      </w:tr>
      <w:tr w14:paraId="6C9298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3" w:hRule="atLeast"/>
          <w:jc w:val="center"/>
        </w:trPr>
        <w:tc>
          <w:tcPr>
            <w:tcW w:w="8580" w:type="dxa"/>
            <w:gridSpan w:val="7"/>
            <w:tcBorders>
              <w:top w:val="single" w:color="auto" w:sz="4" w:space="0"/>
              <w:left w:val="single" w:color="auto" w:sz="4" w:space="0"/>
              <w:bottom w:val="single" w:color="auto" w:sz="4" w:space="0"/>
              <w:right w:val="single" w:color="auto" w:sz="4" w:space="0"/>
            </w:tcBorders>
            <w:vAlign w:val="center"/>
          </w:tcPr>
          <w:p w14:paraId="23BB8964">
            <w:pPr>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特别说明：本合同内容包括但不限于以上内容，以实现项目整体功能、性能为准。</w:t>
            </w:r>
          </w:p>
        </w:tc>
      </w:tr>
    </w:tbl>
    <w:p w14:paraId="4EFB966E">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本合同总额为货物到达使用地点、验收合格达到正常使用条件前的所有费用，包括但不限于运输费、保险费、装卸费、配套资料费、安装调试费用、验收时的试剂耗材、强制性第三方监督检验机构的验收检验费、税费、培训费用以及售后服务费用等。</w:t>
      </w:r>
    </w:p>
    <w:p w14:paraId="24C6E449">
      <w:pPr>
        <w:spacing w:line="360" w:lineRule="auto"/>
        <w:rPr>
          <w:rFonts w:hint="eastAsia" w:ascii="仿宋" w:hAnsi="仿宋" w:eastAsia="仿宋" w:cs="仿宋"/>
          <w:bCs/>
          <w:color w:val="auto"/>
          <w:sz w:val="20"/>
          <w:szCs w:val="20"/>
        </w:rPr>
      </w:pPr>
      <w:r>
        <w:rPr>
          <w:rFonts w:hint="eastAsia" w:ascii="仿宋" w:hAnsi="仿宋" w:eastAsia="仿宋" w:cs="仿宋"/>
          <w:bCs/>
          <w:color w:val="auto"/>
          <w:sz w:val="20"/>
          <w:szCs w:val="20"/>
        </w:rPr>
        <w:t>二、付款方式</w:t>
      </w:r>
    </w:p>
    <w:p w14:paraId="7D3094B0">
      <w:pPr>
        <w:widowControl/>
        <w:shd w:val="clear" w:color="auto" w:fill="FFFFFF"/>
        <w:spacing w:line="360" w:lineRule="auto"/>
        <w:ind w:firstLine="560"/>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1.在乙方货物交付完成并经甲方最终验收合格之日起</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个工作日内，乙方向甲方开具符合甲方要求的等额合法增值税发票（普通发票/专用发票），税率</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%，甲方以转账方式向乙方支付合同总金额的</w:t>
      </w:r>
      <w:r>
        <w:rPr>
          <w:rFonts w:hint="eastAsia" w:ascii="仿宋" w:hAnsi="仿宋" w:eastAsia="仿宋" w:cs="仿宋"/>
          <w:color w:val="auto"/>
          <w:kern w:val="0"/>
          <w:sz w:val="20"/>
          <w:szCs w:val="20"/>
          <w:u w:val="single"/>
          <w:shd w:val="clear" w:color="auto" w:fill="FFFFFF"/>
        </w:rPr>
        <w:t xml:space="preserve">    % ,</w:t>
      </w:r>
      <w:r>
        <w:rPr>
          <w:rFonts w:hint="eastAsia" w:ascii="仿宋" w:hAnsi="仿宋" w:eastAsia="仿宋" w:cs="仿宋"/>
          <w:color w:val="auto"/>
          <w:kern w:val="0"/>
          <w:sz w:val="20"/>
          <w:szCs w:val="20"/>
          <w:shd w:val="clear" w:color="auto" w:fill="FFFFFF"/>
        </w:rPr>
        <w:t>金额为</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，质保期为经甲方最终验收合格之日起</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年。采购验收所产生的费用由乙方承担</w:t>
      </w:r>
      <w:r>
        <w:rPr>
          <w:rFonts w:hint="eastAsia" w:ascii="仿宋" w:hAnsi="仿宋" w:eastAsia="仿宋" w:cs="仿宋"/>
          <w:color w:val="auto"/>
          <w:sz w:val="20"/>
          <w:szCs w:val="20"/>
        </w:rPr>
        <w:t>。</w:t>
      </w:r>
    </w:p>
    <w:p w14:paraId="4BC531C7">
      <w:pPr>
        <w:pStyle w:val="4"/>
        <w:spacing w:line="360" w:lineRule="auto"/>
        <w:ind w:left="0" w:leftChars="0" w:firstLine="400"/>
        <w:rPr>
          <w:rFonts w:hint="eastAsia" w:ascii="仿宋" w:hAnsi="仿宋" w:eastAsia="仿宋" w:cs="仿宋"/>
          <w:color w:val="auto"/>
          <w:sz w:val="20"/>
          <w:szCs w:val="20"/>
        </w:rPr>
      </w:pPr>
      <w:r>
        <w:rPr>
          <w:rFonts w:hint="eastAsia" w:ascii="仿宋" w:hAnsi="仿宋" w:eastAsia="仿宋" w:cs="仿宋"/>
          <w:color w:val="auto"/>
          <w:sz w:val="20"/>
          <w:szCs w:val="20"/>
        </w:rPr>
        <w:t>乙方拒不开支票或者开票不符合甲方要求的，甲方有权拒不付款且不承担任何违约责任。</w:t>
      </w:r>
    </w:p>
    <w:p w14:paraId="67137349">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2.甲方开票发票要求：</w:t>
      </w:r>
    </w:p>
    <w:p w14:paraId="703AA91C">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（1）单位名称：</w:t>
      </w:r>
    </w:p>
    <w:p w14:paraId="15767F1A">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（2）单位账号：</w:t>
      </w:r>
    </w:p>
    <w:p w14:paraId="7DF6B985">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（3）开户行：</w:t>
      </w:r>
    </w:p>
    <w:p w14:paraId="7D38228B">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（4）纳税人识别号:</w:t>
      </w:r>
    </w:p>
    <w:p w14:paraId="6D9218D1">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（5）单位地址:</w:t>
      </w:r>
    </w:p>
    <w:p w14:paraId="18CF008A">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3.乙方收款账户信息：</w:t>
      </w:r>
    </w:p>
    <w:p w14:paraId="5854764A">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（1）开户名称：</w:t>
      </w:r>
    </w:p>
    <w:p w14:paraId="3B4ACBA6">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 xml:space="preserve">（2）银行账号：                </w:t>
      </w:r>
    </w:p>
    <w:p w14:paraId="3F73862E">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 xml:space="preserve">（3）开户行 ：               </w:t>
      </w:r>
    </w:p>
    <w:p w14:paraId="4DEF7B9C">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（4）纳税人识别号:</w:t>
      </w:r>
    </w:p>
    <w:p w14:paraId="7765F4E6">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（5）单位地址：</w:t>
      </w:r>
    </w:p>
    <w:p w14:paraId="1D71049B">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（6）供应商规模：（大型企业/中型企业/小微型企业/其他）</w:t>
      </w:r>
    </w:p>
    <w:p w14:paraId="13CA7B43">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（7）供应商特殊性质：（监狱企业/残疾人福利性单位/其他）</w:t>
      </w:r>
    </w:p>
    <w:p w14:paraId="59E781B8">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注：开户行、单位名称、单位账号如有变更，变更一方应在合同规定的相关付款期限前二十天内以书面方式通知对方，如未按时通知或通知有误而影响结算者，所产生的责任及损失自行承担。</w:t>
      </w:r>
    </w:p>
    <w:p w14:paraId="21685B85">
      <w:pPr>
        <w:pStyle w:val="4"/>
        <w:spacing w:line="360" w:lineRule="auto"/>
        <w:ind w:left="0" w:leftChars="0" w:firstLine="0" w:firstLineChars="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三、交货及交货方式</w:t>
      </w:r>
    </w:p>
    <w:p w14:paraId="3B8BB178">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1.交货时间：自合同签订之日起</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日内/</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年</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月</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日。</w:t>
      </w:r>
    </w:p>
    <w:p w14:paraId="79240C40">
      <w:pPr>
        <w:pStyle w:val="4"/>
        <w:spacing w:line="360" w:lineRule="auto"/>
        <w:ind w:left="0" w:leftChars="0" w:firstLine="400"/>
        <w:rPr>
          <w:rFonts w:hint="eastAsia" w:ascii="仿宋" w:hAnsi="仿宋" w:eastAsia="仿宋" w:cs="仿宋"/>
          <w:color w:val="auto"/>
          <w:sz w:val="20"/>
          <w:szCs w:val="20"/>
          <w:u w:val="single"/>
        </w:rPr>
      </w:pPr>
      <w:r>
        <w:rPr>
          <w:rFonts w:hint="eastAsia" w:ascii="仿宋" w:hAnsi="仿宋" w:eastAsia="仿宋" w:cs="仿宋"/>
          <w:color w:val="auto"/>
          <w:kern w:val="0"/>
          <w:sz w:val="20"/>
          <w:szCs w:val="20"/>
          <w:shd w:val="clear" w:color="auto" w:fill="FFFFFF"/>
        </w:rPr>
        <w:t>2.交货地点：</w:t>
      </w:r>
      <w:r>
        <w:rPr>
          <w:rFonts w:hint="eastAsia" w:ascii="仿宋" w:hAnsi="仿宋" w:eastAsia="仿宋" w:cs="仿宋"/>
          <w:color w:val="auto"/>
          <w:sz w:val="20"/>
          <w:szCs w:val="20"/>
        </w:rPr>
        <w:t xml:space="preserve"> </w:t>
      </w:r>
      <w:r>
        <w:rPr>
          <w:rFonts w:hint="eastAsia" w:ascii="仿宋" w:hAnsi="仿宋" w:eastAsia="仿宋" w:cs="仿宋"/>
          <w:color w:val="auto"/>
          <w:sz w:val="20"/>
          <w:szCs w:val="20"/>
          <w:u w:val="single"/>
        </w:rPr>
        <w:t xml:space="preserve">             </w:t>
      </w:r>
    </w:p>
    <w:p w14:paraId="76F6F446">
      <w:pPr>
        <w:pStyle w:val="8"/>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3.本合同所有物品运抵甲方现场后，乙方应在确保设备外包装完好无损的情况下向甲方交货，出现货物不全，外包装破损等情况，甲方不予接收，由乙方负责更换，其相关费用由乙方负担，交货时间不予顺延。</w:t>
      </w:r>
    </w:p>
    <w:p w14:paraId="7B061989">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4.乙方负责安全地在约定期内送货到约定的地点，运输方式由乙方自行决定，相关费用由乙方承担。运输途中产生的交通事故、人身伤害、财产损失等责任均由乙方自行承担，与甲方无关。</w:t>
      </w:r>
    </w:p>
    <w:p w14:paraId="340EA391">
      <w:pPr>
        <w:pStyle w:val="4"/>
        <w:spacing w:line="360" w:lineRule="auto"/>
        <w:ind w:left="0" w:leftChars="0" w:firstLine="0" w:firstLineChars="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四、产品质量保证</w:t>
      </w:r>
    </w:p>
    <w:p w14:paraId="30A5C2D3">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1.乙方必须保证所提供的货物及配套产品是合同规定厂家制造的、崭新的、未曾使用过的合格货物，品牌、规格型号及数量需与合同完全一致。</w:t>
      </w:r>
    </w:p>
    <w:p w14:paraId="622FE7A0">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2.乙方提供的货物必须符合合同技术指标要求，并能按国家标准（行业标准）供应、检测、调试，确保产品技术指标满足使用要求。</w:t>
      </w:r>
    </w:p>
    <w:p w14:paraId="62D5D032">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3.货物质保期为货物最终验收合格之日起</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年。质保期内乙方免费进行维保，包括货物的零配件及不能解决的故障需要返回生产厂维修时所发生的一切费用。</w:t>
      </w:r>
    </w:p>
    <w:p w14:paraId="3FA0FDA8">
      <w:pPr>
        <w:pStyle w:val="4"/>
        <w:spacing w:line="360" w:lineRule="auto"/>
        <w:ind w:left="0" w:leftChars="0" w:firstLine="400"/>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4.其他乙方质量保证要求可根据具体项目补充............</w:t>
      </w:r>
    </w:p>
    <w:p w14:paraId="1E2FFAAA">
      <w:pPr>
        <w:spacing w:line="360" w:lineRule="auto"/>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五、技术服务承诺</w:t>
      </w:r>
    </w:p>
    <w:p w14:paraId="31AFFD10">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1.到货后，由乙方技术人员会同甲方项目单位人员在甲方现场开箱、安装、调试，乙方不得另行收费。</w:t>
      </w:r>
    </w:p>
    <w:p w14:paraId="478C1638">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2.乙方负责提供仪器设备相应的技术资料，包括产品合格证、产品保修单、安装使用及维护说明书以及运输装箱清单等。</w:t>
      </w:r>
    </w:p>
    <w:p w14:paraId="643D4027">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3.人员培训：乙方免费为甲方培训设备使用人员，培训内容包括但不限于：设备操作、维护、简单维修等。（备注：需明确培训的形式、次数、时长等信息）</w:t>
      </w:r>
    </w:p>
    <w:p w14:paraId="1CD301E5">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4.如果采购货物在质保期内出现质量问题，乙方收到甲方维护要求后，在</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小时内做出响应；遇有严重技术问题、重大故障，需要现场维护的，乙方应在</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小时内到达甲方现场（在交通允许的情况下）。</w:t>
      </w:r>
    </w:p>
    <w:p w14:paraId="65FC6CFB">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5.接到维修通知后，乙方须在约定保修时间内进行维修；如因乙方未及时进行维修，致使甲方造成人身、财产损害的，甲方有权依据有关法律、法规进行追偿。未在约定报修时间内进行维修的，由甲方安排其他方式进行维修，维修费用由乙方承担。</w:t>
      </w:r>
    </w:p>
    <w:p w14:paraId="1FEDBB44">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6.其它技术服务承诺：（可添加条款）</w:t>
      </w:r>
    </w:p>
    <w:p w14:paraId="7E35F09F">
      <w:pPr>
        <w:spacing w:line="360" w:lineRule="auto"/>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六、验收方法及标准</w:t>
      </w:r>
    </w:p>
    <w:p w14:paraId="765D0A8E">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货物到货后，甲方、乙方双方共同开箱验收，在检查货物原产地、规格、型号、配置符合合同要求后，由乙方负责安装调试、甲方与乙方以合同文本中描述的有关技术要求为准，出具验收报告。</w:t>
      </w:r>
    </w:p>
    <w:p w14:paraId="6A6AE118">
      <w:pPr>
        <w:widowControl/>
        <w:shd w:val="clear" w:color="auto" w:fill="FFFFFF"/>
        <w:spacing w:line="360" w:lineRule="auto"/>
        <w:textAlignment w:val="baseline"/>
        <w:rPr>
          <w:rFonts w:hint="eastAsia" w:ascii="仿宋" w:hAnsi="仿宋" w:eastAsia="仿宋" w:cs="仿宋"/>
          <w:bCs/>
          <w:color w:val="auto"/>
          <w:kern w:val="0"/>
          <w:sz w:val="20"/>
          <w:szCs w:val="20"/>
          <w:shd w:val="clear" w:color="auto" w:fill="FFFFFF"/>
        </w:rPr>
      </w:pPr>
      <w:r>
        <w:rPr>
          <w:rFonts w:hint="eastAsia" w:ascii="仿宋" w:hAnsi="仿宋" w:eastAsia="仿宋" w:cs="仿宋"/>
          <w:bCs/>
          <w:color w:val="auto"/>
          <w:kern w:val="0"/>
          <w:sz w:val="20"/>
          <w:szCs w:val="20"/>
          <w:shd w:val="clear" w:color="auto" w:fill="FFFFFF"/>
        </w:rPr>
        <w:t>七、 违约责任</w:t>
      </w:r>
    </w:p>
    <w:p w14:paraId="214A4B22">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1.合同生效后，甲乙双方应按合同规定认真履约。</w:t>
      </w:r>
    </w:p>
    <w:p w14:paraId="3A312308">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2.乙方若因非不可抗力因素无法在供货期内按时供货，乙方应从要求最迟交货日的次日起，每日向甲方支付延迟交货部分货款的【】%的违约金，逾期超过【】日的，甲方有权解除本合同。因此，给甲方造成损失的，乙方应当承担全部赔偿责任。</w:t>
      </w:r>
    </w:p>
    <w:p w14:paraId="0A19AEEB">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除不可抗力原因外，如遇下列情况之一者，甲方有权单方面解除本合同，要求乙方向甲方支付合同总金额【】%的违约金，并追究乙方的相关责任：（1）合同签订后不能按合同时限要求供货或安装调试；（2）所供设备不合格或与合同不符；（3）不能按合同履约；（4）设备开箱、验收不合格。</w:t>
      </w:r>
    </w:p>
    <w:p w14:paraId="16582C04">
      <w:pPr>
        <w:spacing w:line="360" w:lineRule="auto"/>
        <w:ind w:firstLine="400" w:firstLineChars="200"/>
        <w:rPr>
          <w:rFonts w:hint="eastAsia" w:ascii="仿宋" w:hAnsi="仿宋" w:eastAsia="仿宋" w:cs="仿宋"/>
          <w:color w:val="auto"/>
          <w:kern w:val="0"/>
          <w:sz w:val="20"/>
          <w:szCs w:val="20"/>
          <w:highlight w:val="yellow"/>
          <w:shd w:val="clear" w:color="auto" w:fill="FFFFFF"/>
        </w:rPr>
      </w:pPr>
      <w:r>
        <w:rPr>
          <w:rFonts w:hint="eastAsia" w:ascii="仿宋" w:hAnsi="仿宋" w:eastAsia="仿宋" w:cs="仿宋"/>
          <w:color w:val="auto"/>
          <w:kern w:val="0"/>
          <w:sz w:val="20"/>
          <w:szCs w:val="20"/>
          <w:shd w:val="clear" w:color="auto" w:fill="FFFFFF"/>
        </w:rPr>
        <w:t>4.在质保期内，乙方对所供产品出现的问题推托、拖延，未在约定保修时间内进行维修的，每逾期一次乙方应向甲方偿付合同总金额【】%的的违约金。</w:t>
      </w:r>
    </w:p>
    <w:p w14:paraId="4F9D433C">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5.合同履约过程中，甲方应积极配合乙方进行验收以及验收前的外围配套等工作。否则，因此导致不能按期验收时，不能追究乙方责任。</w:t>
      </w:r>
    </w:p>
    <w:p w14:paraId="5F292DF6">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6.本合同履行过程中，任意一方未及时履行相关义务，经守约方催告后仍未履行的，守约方可于催告期满后解除本合同，由此产生的相应损失，由违约方承担。</w:t>
      </w:r>
    </w:p>
    <w:p w14:paraId="49D5160D">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7.乙方向甲方交付的货物不得侵害任何第三方的合法权利，否则，甲方有权解除本合同。乙方应当向甲方支付本合同总价款【】%的违约金并退还给甲方已支付的全部费用。同时，给甲方造成损失的。乙方应当承担全部赔偿责任。</w:t>
      </w:r>
    </w:p>
    <w:p w14:paraId="0EBBC8D7">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8.未经甲方许可，乙方不得擅自将本合同约定的全部或部分义务转让给第三方，否则，甲方有权解除本合同。乙方应当向甲方支付本合同总价款【】%的违约金。同时，给甲方造成损失的，乙方应当承担全部赔偿责任。</w:t>
      </w:r>
    </w:p>
    <w:p w14:paraId="5514AAF5">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9.乙方应当对本合同履行过程中获取的甲方相关数据及资料承担保密义务，保密期限为长期。乙方违反本合同约定的保密义务的，应当向甲方承担本合同总价款【】%的违约金并立即采取补救措施。同时，甲方有权解除本合同。同时，给甲方造成损失的，乙方应当承担全部赔偿责任。</w:t>
      </w:r>
    </w:p>
    <w:p w14:paraId="14EF6474">
      <w:pPr>
        <w:widowControl/>
        <w:shd w:val="clear" w:color="auto" w:fill="FFFFFF"/>
        <w:spacing w:line="360" w:lineRule="auto"/>
        <w:textAlignment w:val="baseline"/>
        <w:rPr>
          <w:rFonts w:hint="eastAsia" w:ascii="仿宋" w:hAnsi="仿宋" w:eastAsia="仿宋" w:cs="仿宋"/>
          <w:bCs/>
          <w:color w:val="auto"/>
          <w:kern w:val="0"/>
          <w:sz w:val="20"/>
          <w:szCs w:val="20"/>
          <w:shd w:val="clear" w:color="auto" w:fill="FFFFFF"/>
        </w:rPr>
      </w:pPr>
      <w:r>
        <w:rPr>
          <w:rFonts w:hint="eastAsia" w:ascii="仿宋" w:hAnsi="仿宋" w:eastAsia="仿宋" w:cs="仿宋"/>
          <w:bCs/>
          <w:color w:val="auto"/>
          <w:kern w:val="0"/>
          <w:sz w:val="20"/>
          <w:szCs w:val="20"/>
          <w:shd w:val="clear" w:color="auto" w:fill="FFFFFF"/>
        </w:rPr>
        <w:t>八、不可抗力</w:t>
      </w:r>
    </w:p>
    <w:p w14:paraId="3EED7BC0">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1.不可抗力是指本合同生效后，发生合同订立时不能预见、不能避免，并不能克服的客观情况，如地震、台风、水灾、战争等，致使直接影响本合同的履行或不能按约定的条件履行。</w:t>
      </w:r>
    </w:p>
    <w:p w14:paraId="37B144C6">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2.发生不可抗力的一方应立即通知对方，并在十五天内提供不可抗力的详情及将有关证明文件送交对方。</w:t>
      </w:r>
    </w:p>
    <w:p w14:paraId="26A83979">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3.发生不可抗力事件时，甲乙双方应协商以寻找合理的解决方法，双方不可放任不可抗力事件损害后果。</w:t>
      </w:r>
    </w:p>
    <w:p w14:paraId="1EB18CC2">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4.如不可抗力事件持续三十天时，甲乙双方应友好协商解决本合同是否继续履行或终止的问题。</w:t>
      </w:r>
    </w:p>
    <w:p w14:paraId="1C71B1FD">
      <w:pPr>
        <w:widowControl/>
        <w:shd w:val="clear" w:color="auto" w:fill="FFFFFF"/>
        <w:spacing w:line="360" w:lineRule="auto"/>
        <w:textAlignment w:val="baseline"/>
        <w:rPr>
          <w:rFonts w:hint="eastAsia" w:ascii="仿宋" w:hAnsi="仿宋" w:eastAsia="仿宋" w:cs="仿宋"/>
          <w:bCs/>
          <w:color w:val="auto"/>
          <w:kern w:val="0"/>
          <w:sz w:val="20"/>
          <w:szCs w:val="20"/>
          <w:shd w:val="clear" w:color="auto" w:fill="FFFFFF"/>
        </w:rPr>
      </w:pPr>
      <w:r>
        <w:rPr>
          <w:rFonts w:hint="eastAsia" w:ascii="仿宋" w:hAnsi="仿宋" w:eastAsia="仿宋" w:cs="仿宋"/>
          <w:bCs/>
          <w:color w:val="auto"/>
          <w:kern w:val="0"/>
          <w:sz w:val="20"/>
          <w:szCs w:val="20"/>
          <w:shd w:val="clear" w:color="auto" w:fill="FFFFFF"/>
        </w:rPr>
        <w:t>九、风险承担</w:t>
      </w:r>
    </w:p>
    <w:p w14:paraId="50C603A3">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1.货物毁损、灭失的风险，在货物经甲方验收合格以前由乙方承担，在货物经甲方验收合格并由乙方交付以后由甲方承担。</w:t>
      </w:r>
    </w:p>
    <w:p w14:paraId="57865E0E">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2.甲方因货物质量不符合约定的质量要求而拒绝接受货物或解除合同的，货物毁损、灭失的风险由乙方承担。</w:t>
      </w:r>
    </w:p>
    <w:p w14:paraId="58D310C2">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3.由乙方承担货物毁损、灭失风险的，如货物毁损或灭失的，乙方应于</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天内重新提供符合合同规定的货物，否则，视为乙方逾期交货。</w:t>
      </w:r>
    </w:p>
    <w:p w14:paraId="3436BBDE">
      <w:pPr>
        <w:widowControl/>
        <w:shd w:val="clear" w:color="auto" w:fill="FFFFFF"/>
        <w:spacing w:line="360" w:lineRule="auto"/>
        <w:ind w:firstLine="400" w:firstLineChars="200"/>
        <w:jc w:val="left"/>
        <w:rPr>
          <w:rFonts w:hint="eastAsia" w:ascii="仿宋" w:hAnsi="仿宋" w:eastAsia="仿宋" w:cs="仿宋"/>
          <w:color w:val="auto"/>
          <w:kern w:val="0"/>
          <w:sz w:val="20"/>
          <w:szCs w:val="20"/>
          <w:highlight w:val="yellow"/>
          <w:shd w:val="clear" w:color="auto" w:fill="FFFFFF"/>
        </w:rPr>
      </w:pPr>
      <w:r>
        <w:rPr>
          <w:rFonts w:hint="eastAsia" w:ascii="仿宋" w:hAnsi="仿宋" w:eastAsia="仿宋" w:cs="仿宋"/>
          <w:color w:val="auto"/>
          <w:kern w:val="0"/>
          <w:sz w:val="20"/>
          <w:szCs w:val="20"/>
          <w:shd w:val="clear" w:color="auto" w:fill="FFFFFF"/>
        </w:rPr>
        <w:t>4.由甲方承担货物毁损、灭失风险的，则甲方不能免除给付货款的义务。</w:t>
      </w:r>
    </w:p>
    <w:p w14:paraId="32D201E0">
      <w:pPr>
        <w:spacing w:line="360" w:lineRule="auto"/>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十、合同生效与终止</w:t>
      </w:r>
    </w:p>
    <w:p w14:paraId="3D9EBA21">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1.本合同自甲乙双方签字且盖章之日起生效。本合同双方法定代表人或委托代理人签字并加盖单位公章之日即为本合同的生效日期。如双方签字日期不一致时，以最后签字方的签字日期为合同的生效日期。</w:t>
      </w:r>
    </w:p>
    <w:p w14:paraId="0D574FF8">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2.本合同的“采购物品”最终质量保证期限届满日期，即为本合同的终止日期。保密条款、争议解决和双方未了的债权和债务不受合同期满的影响，并且守约方有权提出索赔。</w:t>
      </w:r>
    </w:p>
    <w:p w14:paraId="69A3979C">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3.如乙方未能全面履行合同所有条款，甲方有权单方面解除合同，不退还乙方所交履约保证金（如有），以此作为乙方对甲方的赔偿，并保留追究相关责任的权利。</w:t>
      </w:r>
    </w:p>
    <w:p w14:paraId="43FC368E">
      <w:pPr>
        <w:widowControl/>
        <w:shd w:val="clear" w:color="auto" w:fill="FFFFFF"/>
        <w:spacing w:line="360" w:lineRule="auto"/>
        <w:textAlignment w:val="baseline"/>
        <w:rPr>
          <w:rFonts w:hint="eastAsia" w:ascii="仿宋" w:hAnsi="仿宋" w:eastAsia="仿宋" w:cs="仿宋"/>
          <w:bCs/>
          <w:color w:val="auto"/>
          <w:sz w:val="20"/>
          <w:szCs w:val="20"/>
        </w:rPr>
      </w:pPr>
      <w:r>
        <w:rPr>
          <w:rFonts w:hint="eastAsia" w:ascii="仿宋" w:hAnsi="仿宋" w:eastAsia="仿宋" w:cs="仿宋"/>
          <w:bCs/>
          <w:color w:val="auto"/>
          <w:kern w:val="0"/>
          <w:sz w:val="20"/>
          <w:szCs w:val="20"/>
          <w:shd w:val="clear" w:color="auto" w:fill="FFFFFF"/>
        </w:rPr>
        <w:t>十一、 解决争议的方法</w:t>
      </w:r>
    </w:p>
    <w:p w14:paraId="3DC5BB3B">
      <w:pPr>
        <w:widowControl/>
        <w:shd w:val="clear" w:color="auto" w:fill="FFFFFF"/>
        <w:spacing w:line="360" w:lineRule="auto"/>
        <w:ind w:firstLine="562"/>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 本合同在履行过程中发生的争议，双方应协商解决，协商不成时，任何一方均可向甲方所在地有管辖权的人民法院提起诉讼。</w:t>
      </w:r>
    </w:p>
    <w:p w14:paraId="65AC9183">
      <w:pPr>
        <w:widowControl/>
        <w:shd w:val="clear" w:color="auto" w:fill="FFFFFF"/>
        <w:spacing w:line="360" w:lineRule="auto"/>
        <w:textAlignment w:val="baseline"/>
        <w:rPr>
          <w:rFonts w:hint="eastAsia" w:ascii="仿宋" w:hAnsi="仿宋" w:eastAsia="仿宋" w:cs="仿宋"/>
          <w:bCs/>
          <w:color w:val="auto"/>
          <w:kern w:val="0"/>
          <w:sz w:val="20"/>
          <w:szCs w:val="20"/>
          <w:shd w:val="clear" w:color="auto" w:fill="FFFFFF"/>
        </w:rPr>
      </w:pPr>
      <w:r>
        <w:rPr>
          <w:rFonts w:hint="eastAsia" w:ascii="仿宋" w:hAnsi="仿宋" w:eastAsia="仿宋" w:cs="仿宋"/>
          <w:bCs/>
          <w:color w:val="auto"/>
          <w:kern w:val="0"/>
          <w:sz w:val="20"/>
          <w:szCs w:val="20"/>
          <w:shd w:val="clear" w:color="auto" w:fill="FFFFFF"/>
        </w:rPr>
        <w:t>十二、 其他规定</w:t>
      </w:r>
    </w:p>
    <w:p w14:paraId="28572895">
      <w:pPr>
        <w:widowControl/>
        <w:shd w:val="clear" w:color="auto" w:fill="FFFFFF"/>
        <w:spacing w:line="360" w:lineRule="auto"/>
        <w:ind w:firstLine="562"/>
        <w:jc w:val="left"/>
        <w:textAlignment w:val="baseline"/>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 1.合同的主要条款应当与招标文件和乙方的投标文件的内容保持一致，双方不得再行订立背离合同实质性内容的其他协议”。</w:t>
      </w:r>
    </w:p>
    <w:p w14:paraId="32BC9560">
      <w:pPr>
        <w:widowControl/>
        <w:shd w:val="clear" w:color="auto" w:fill="FFFFFF"/>
        <w:spacing w:line="360" w:lineRule="auto"/>
        <w:ind w:firstLine="562"/>
        <w:jc w:val="left"/>
        <w:textAlignment w:val="baseline"/>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  双方约定的其它事项（双方根据相关法律法规的规定和合同性质的需要协商一致确定的条款，如保密条款、安全条款、廉洁条款等）。</w:t>
      </w:r>
    </w:p>
    <w:p w14:paraId="07BB5507">
      <w:pPr>
        <w:widowControl/>
        <w:shd w:val="clear" w:color="auto" w:fill="FFFFFF"/>
        <w:spacing w:line="360" w:lineRule="auto"/>
        <w:ind w:firstLine="400" w:firstLineChars="200"/>
        <w:jc w:val="left"/>
        <w:textAlignment w:val="baseline"/>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3.本合同一式6份，甲方执4份（国资处1份，财务处1份，使用单位2份），乙方执2份，具有同等法律效力。</w:t>
      </w:r>
    </w:p>
    <w:p w14:paraId="38B99628">
      <w:pPr>
        <w:widowControl/>
        <w:shd w:val="clear" w:color="auto" w:fill="FFFFFF"/>
        <w:spacing w:line="360" w:lineRule="auto"/>
        <w:ind w:firstLine="562"/>
        <w:jc w:val="left"/>
        <w:textAlignment w:val="baseline"/>
        <w:rPr>
          <w:rFonts w:hint="eastAsia" w:ascii="仿宋" w:hAnsi="仿宋" w:eastAsia="仿宋" w:cs="仿宋"/>
          <w:color w:val="auto"/>
          <w:sz w:val="20"/>
          <w:szCs w:val="20"/>
        </w:rPr>
      </w:pPr>
      <w:r>
        <w:rPr>
          <w:rFonts w:hint="eastAsia" w:ascii="仿宋" w:hAnsi="仿宋" w:eastAsia="仿宋" w:cs="仿宋"/>
          <w:color w:val="auto"/>
          <w:sz w:val="20"/>
          <w:szCs w:val="20"/>
        </w:rPr>
        <w:t>4.</w:t>
      </w:r>
      <w:r>
        <w:rPr>
          <w:rFonts w:hint="eastAsia" w:ascii="仿宋" w:hAnsi="仿宋" w:eastAsia="仿宋" w:cs="仿宋"/>
          <w:color w:val="auto"/>
          <w:kern w:val="0"/>
          <w:sz w:val="20"/>
          <w:szCs w:val="20"/>
          <w:shd w:val="clear" w:color="auto" w:fill="FFFFFF"/>
        </w:rPr>
        <w:t>合同的附件为本合同不可分割的组成部分，与本合同具有同等的法律效力。　　</w:t>
      </w:r>
    </w:p>
    <w:p w14:paraId="42C2413E">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 </w:t>
      </w:r>
    </w:p>
    <w:p w14:paraId="314DB0A8">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甲方（盖章）：</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乙方（盖章）：</w:t>
      </w:r>
      <w:r>
        <w:rPr>
          <w:rFonts w:hint="eastAsia" w:ascii="仿宋" w:hAnsi="仿宋" w:eastAsia="仿宋" w:cs="仿宋"/>
          <w:color w:val="auto"/>
          <w:kern w:val="0"/>
          <w:sz w:val="20"/>
          <w:szCs w:val="20"/>
          <w:u w:val="single"/>
          <w:shd w:val="clear" w:color="auto" w:fill="FFFFFF"/>
        </w:rPr>
        <w:t>           </w:t>
      </w:r>
    </w:p>
    <w:p w14:paraId="0C7EDB4D">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法定代表人（委托代理人）       法定代表人（委托代理人）</w:t>
      </w:r>
    </w:p>
    <w:p w14:paraId="79AFCA46">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（签字）：</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（签字）：</w:t>
      </w:r>
      <w:r>
        <w:rPr>
          <w:rFonts w:hint="eastAsia" w:ascii="仿宋" w:hAnsi="仿宋" w:eastAsia="仿宋" w:cs="仿宋"/>
          <w:color w:val="auto"/>
          <w:kern w:val="0"/>
          <w:sz w:val="20"/>
          <w:szCs w:val="20"/>
          <w:u w:val="single"/>
          <w:shd w:val="clear" w:color="auto" w:fill="FFFFFF"/>
        </w:rPr>
        <w:t>                </w:t>
      </w:r>
    </w:p>
    <w:p w14:paraId="67EFCD33">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联 系 人：</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联 系 人：</w:t>
      </w:r>
      <w:r>
        <w:rPr>
          <w:rFonts w:hint="eastAsia" w:ascii="仿宋" w:hAnsi="仿宋" w:eastAsia="仿宋" w:cs="仿宋"/>
          <w:color w:val="auto"/>
          <w:kern w:val="0"/>
          <w:sz w:val="20"/>
          <w:szCs w:val="20"/>
          <w:u w:val="single"/>
          <w:shd w:val="clear" w:color="auto" w:fill="FFFFFF"/>
        </w:rPr>
        <w:t>                 </w:t>
      </w:r>
    </w:p>
    <w:p w14:paraId="759FFB69">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联系方式：</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联系方式：</w:t>
      </w:r>
      <w:r>
        <w:rPr>
          <w:rFonts w:hint="eastAsia" w:ascii="仿宋" w:hAnsi="仿宋" w:eastAsia="仿宋" w:cs="仿宋"/>
          <w:color w:val="auto"/>
          <w:kern w:val="0"/>
          <w:sz w:val="20"/>
          <w:szCs w:val="20"/>
          <w:u w:val="single"/>
          <w:shd w:val="clear" w:color="auto" w:fill="FFFFFF"/>
        </w:rPr>
        <w:t>                 </w:t>
      </w:r>
    </w:p>
    <w:p w14:paraId="157CDBD7">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签订时间： </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年</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月</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日      签订时间： </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年</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月</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日</w:t>
      </w:r>
    </w:p>
    <w:p w14:paraId="720A81C6">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签订地点：</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签订地点：</w:t>
      </w:r>
      <w:r>
        <w:rPr>
          <w:rFonts w:hint="eastAsia" w:ascii="仿宋" w:hAnsi="仿宋" w:eastAsia="仿宋" w:cs="仿宋"/>
          <w:color w:val="auto"/>
          <w:kern w:val="0"/>
          <w:sz w:val="20"/>
          <w:szCs w:val="20"/>
          <w:u w:val="single"/>
          <w:shd w:val="clear" w:color="auto" w:fill="FFFFFF"/>
        </w:rPr>
        <w:t>                </w:t>
      </w:r>
    </w:p>
    <w:p w14:paraId="18216B63">
      <w:pPr>
        <w:spacing w:line="360" w:lineRule="auto"/>
        <w:rPr>
          <w:color w:val="auto"/>
          <w:sz w:val="24"/>
        </w:rPr>
      </w:pPr>
    </w:p>
    <w:p w14:paraId="3E23D752">
      <w:pPr>
        <w:pStyle w:val="7"/>
        <w:rPr>
          <w:rFonts w:hint="default" w:ascii="仿宋_GB2312" w:hAnsi="仿宋_GB2312" w:eastAsia="仿宋_GB2312" w:cs="仿宋_GB2312"/>
          <w:color w:val="auto"/>
        </w:rPr>
      </w:pPr>
    </w:p>
    <w:p w14:paraId="1C90D830">
      <w:pPr>
        <w:pStyle w:val="7"/>
        <w:rPr>
          <w:rFonts w:hint="default"/>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p>
    <w:p w14:paraId="629FAE2F">
      <w:pPr>
        <w:pStyle w:val="7"/>
        <w:rPr>
          <w:rFonts w:hint="default"/>
          <w:color w:val="auto"/>
        </w:rPr>
      </w:pPr>
    </w:p>
    <w:p w14:paraId="0FB79E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377049"/>
    <w:rsid w:val="56D90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ind w:left="455" w:leftChars="30" w:hanging="425" w:hangingChars="425"/>
    </w:pPr>
    <w:rPr>
      <w:rFonts w:ascii="宋体" w:hAnsi="Times New Roman" w:cs="Times New Roman"/>
      <w:sz w:val="24"/>
    </w:rPr>
  </w:style>
  <w:style w:type="paragraph" w:styleId="3">
    <w:name w:val="Normal (Web)"/>
    <w:basedOn w:val="1"/>
    <w:qFormat/>
    <w:uiPriority w:val="0"/>
    <w:pPr>
      <w:spacing w:beforeAutospacing="1" w:afterAutospacing="1"/>
      <w:jc w:val="left"/>
    </w:pPr>
    <w:rPr>
      <w:rFonts w:cs="Times New Roman"/>
      <w:kern w:val="0"/>
      <w:sz w:val="24"/>
    </w:rPr>
  </w:style>
  <w:style w:type="paragraph" w:styleId="4">
    <w:name w:val="Body Text First Indent 2"/>
    <w:basedOn w:val="2"/>
    <w:qFormat/>
    <w:uiPriority w:val="0"/>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customStyle="1" w:styleId="8">
    <w:name w:val="1"/>
    <w:basedOn w:val="1"/>
    <w:next w:val="3"/>
    <w:qFormat/>
    <w:uiPriority w:val="0"/>
    <w:rPr>
      <w:rFonts w:ascii="Times New Roman" w:hAnsi="Times New Roman"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3625</Words>
  <Characters>3679</Characters>
  <Lines>0</Lines>
  <Paragraphs>0</Paragraphs>
  <TotalTime>0</TotalTime>
  <ScaleCrop>false</ScaleCrop>
  <LinksUpToDate>false</LinksUpToDate>
  <CharactersWithSpaces>4182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2025-09-22T08:54:00Z</dcterms:created>
  <dc:creator>Administrator</dc:creator>
  <cp:lastModifiedBy>cool~静</cp:lastModifiedBy>
  <dcterms:modified xsi:type="dcterms:W3CDTF">2025-10-09T01:20:23Z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eyJoZGlkIjoiOTE4Mzk2YjliNTc0M2Q5NTQwNjc5MmQxYThhYjkyNTciLCJ1c2VySWQiOiI2MDU1NTA0OTQifQ==</vt:lpwstr>
  </property>
  <property fmtid="{D5CDD505-2E9C-101B-9397-08002B2CF9AE}" pid="4" name="ICV">
    <vt:lpwstr>A78839BDD82B48C6B9B67D241DF0A610_12</vt:lpwstr>
  </property>
</Properties>
</file>