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版本号：SDZC2025-18720251121001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信息网络设备运行维护项目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SDZC2025-187</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信息网络设备运行维护项目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信息网络设备运行维护项目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无线电频率台站系统、无线电业余台站管理系统、公众移动基站数据交互系统、省级无线电网格化监管系统（省监测站指挥调度中心）和西安、咸阳无线电网格化监管系统以及汉中、安康、宝鸡、渭南无线电监控中心，在我省无线电频谱资源管理、台站管理、维护空中电波秩序、干扰查处和重大活动无线电安全保障中发挥着基础支撑作用。为保障信息网络系统和设备的正常运行，提高设备利用率，发挥其最大效能，需加强维护、维修和保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采购包1（信息网络设备运行维护项目）：属于专门面向中小企业采购。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 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029-86673953、029-86518381转808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2、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无线电频率台站系统、无线电业余台站管理系统、公众移动基站数据交互系统、省级无线电网格化监管系统（省监测站指挥调度中心）和西安、咸阳无线电网格化监管系统以及汉中、安康、宝鸡、渭南无线电监控中心，在我省无线电频谱资源管理、台站管理、维护空中电波秩序、干扰查处和重大活动无线电安全保障中发挥着基础支撑作用。为保障信息网络系统和设备的正常运行，提高设备利用率，发挥其最大效能，需加强维护、维修和保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信息网络设备运行维护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标的名称：信息网络设备运行维护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9"/>
              <w:gridCol w:w="2258"/>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2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2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一、概述</w:t>
                  </w:r>
                </w:p>
                <w:p>
                  <w:pPr>
                    <w:pStyle w:val="null3"/>
                    <w:jc w:val="both"/>
                  </w:pPr>
                  <w:r>
                    <w:rPr>
                      <w:rFonts w:ascii="仿宋_GB2312" w:hAnsi="仿宋_GB2312" w:cs="仿宋_GB2312" w:eastAsia="仿宋_GB2312"/>
                      <w:sz w:val="20"/>
                    </w:rPr>
                    <w:t>陕西省无线电频率台站系统、无线电业余台站管理系统、公众移动基站数据交互系统、省级无线电网格化监管系统（省监测站指挥调度中心）和西安、咸阳无线电网格化监管系统以及汉中、安康、宝鸡、渭南无线电监控中心，在我省无线电频谱资源管理、台站管理、维护空中电波秩序、干扰查处和重大活动无线电安全保障中发挥着基础支撑作用。为保障信息网络系统和设备的正常运行，提高设备利用率，发挥其最大效能，需加强维护、维修和保养。</w:t>
                  </w:r>
                </w:p>
                <w:p>
                  <w:pPr>
                    <w:pStyle w:val="null3"/>
                    <w:jc w:val="both"/>
                  </w:pPr>
                  <w:r>
                    <w:rPr>
                      <w:rFonts w:ascii="仿宋_GB2312" w:hAnsi="仿宋_GB2312" w:cs="仿宋_GB2312" w:eastAsia="仿宋_GB2312"/>
                      <w:sz w:val="20"/>
                    </w:rPr>
                    <w:t>二、维护范围</w:t>
                  </w:r>
                </w:p>
                <w:p>
                  <w:pPr>
                    <w:pStyle w:val="null3"/>
                    <w:jc w:val="both"/>
                  </w:pPr>
                  <w:r>
                    <w:rPr>
                      <w:rFonts w:ascii="仿宋_GB2312" w:hAnsi="仿宋_GB2312" w:cs="仿宋_GB2312" w:eastAsia="仿宋_GB2312"/>
                      <w:sz w:val="20"/>
                    </w:rPr>
                    <w:t>无线电管理信息网络系统维护范围如下：</w:t>
                  </w:r>
                </w:p>
                <w:tbl>
                  <w:tblPr>
                    <w:tblBorders>
                      <w:top w:val="none" w:color="000000" w:sz="4"/>
                      <w:left w:val="none" w:color="000000" w:sz="4"/>
                      <w:bottom w:val="none" w:color="000000" w:sz="4"/>
                      <w:right w:val="none" w:color="000000" w:sz="4"/>
                      <w:insideH w:val="none"/>
                      <w:insideV w:val="none"/>
                    </w:tblBorders>
                  </w:tblPr>
                  <w:tblGrid>
                    <w:gridCol w:w="224"/>
                    <w:gridCol w:w="850"/>
                    <w:gridCol w:w="968"/>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系统名称</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维护地点</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多媒体调度系统</w:t>
                        </w:r>
                      </w:p>
                    </w:tc>
                    <w:tc>
                      <w:tcPr>
                        <w:tcW w:type="dxa" w:w="9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省无线电监测站指挥调度中心</w:t>
                        </w:r>
                      </w:p>
                      <w:p>
                        <w:pPr>
                          <w:pStyle w:val="null3"/>
                          <w:jc w:val="both"/>
                        </w:pPr>
                        <w:r>
                          <w:rPr>
                            <w:rFonts w:ascii="仿宋_GB2312" w:hAnsi="仿宋_GB2312" w:cs="仿宋_GB2312" w:eastAsia="仿宋_GB2312"/>
                            <w:sz w:val="20"/>
                          </w:rPr>
                          <w:t>西安、咸阳无线电网格化监测系统</w:t>
                        </w:r>
                      </w:p>
                      <w:p>
                        <w:pPr>
                          <w:pStyle w:val="null3"/>
                          <w:jc w:val="both"/>
                        </w:pPr>
                        <w:r>
                          <w:rPr>
                            <w:rFonts w:ascii="仿宋_GB2312" w:hAnsi="仿宋_GB2312" w:cs="仿宋_GB2312" w:eastAsia="仿宋_GB2312"/>
                            <w:sz w:val="20"/>
                          </w:rPr>
                          <w:t>汉中、安康、宝鸡、渭南无线电</w:t>
                        </w:r>
                      </w:p>
                      <w:p>
                        <w:pPr>
                          <w:pStyle w:val="null3"/>
                          <w:jc w:val="both"/>
                        </w:pPr>
                        <w:r>
                          <w:rPr>
                            <w:rFonts w:ascii="仿宋_GB2312" w:hAnsi="仿宋_GB2312" w:cs="仿宋_GB2312" w:eastAsia="仿宋_GB2312"/>
                            <w:sz w:val="20"/>
                          </w:rPr>
                          <w:t>监控中心</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大屏显示系统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音频扩声系统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会议会商系统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视频会议系统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UPS不间断电源系统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中央控制系统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操作终端</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防雷接地</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指挥调度软件</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无线电频率台站系统</w:t>
                        </w:r>
                      </w:p>
                    </w:tc>
                    <w:tc>
                      <w:tcPr>
                        <w:tcW w:type="dxa" w:w="9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省无线电监测站</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无线电业余台站管理系统</w:t>
                        </w:r>
                      </w:p>
                    </w:tc>
                    <w:tc>
                      <w:tcPr>
                        <w:tcW w:type="dxa" w:w="968"/>
                        <w:vMerge/>
                        <w:tcBorders>
                          <w:top w:val="none" w:color="000000" w:sz="4"/>
                          <w:left w:val="singl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公众移动通信基站数据交互系统</w:t>
                        </w:r>
                      </w:p>
                    </w:tc>
                    <w:tc>
                      <w:tcPr>
                        <w:tcW w:type="dxa" w:w="968"/>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0"/>
                    </w:rPr>
                    <w:t>三、服务内容</w:t>
                  </w:r>
                </w:p>
                <w:p>
                  <w:pPr>
                    <w:pStyle w:val="null3"/>
                    <w:jc w:val="both"/>
                  </w:pPr>
                  <w:r>
                    <w:rPr>
                      <w:rFonts w:ascii="仿宋_GB2312" w:hAnsi="仿宋_GB2312" w:cs="仿宋_GB2312" w:eastAsia="仿宋_GB2312"/>
                      <w:sz w:val="20"/>
                    </w:rPr>
                    <w:t>为确保各无线电管理信息系统的正常运行，保证日常无线电管理工作的顺利开展，同时更好地协助采购方业务人员办理各项无线电相关业务，投标方需提供巡检、技术指导、技术支持等维保服务，内容如下：</w:t>
                  </w:r>
                </w:p>
                <w:tbl>
                  <w:tblPr>
                    <w:tblBorders>
                      <w:top w:val="none" w:color="000000" w:sz="4"/>
                      <w:left w:val="none" w:color="000000" w:sz="4"/>
                      <w:bottom w:val="none" w:color="000000" w:sz="4"/>
                      <w:right w:val="none" w:color="000000" w:sz="4"/>
                      <w:insideH w:val="none"/>
                      <w:insideV w:val="none"/>
                    </w:tblBorders>
                  </w:tblPr>
                  <w:tblGrid>
                    <w:gridCol w:w="214"/>
                    <w:gridCol w:w="418"/>
                    <w:gridCol w:w="1411"/>
                  </w:tblGrid>
                  <w:tr>
                    <w:tc>
                      <w:tcPr>
                        <w:tcW w:type="dxa" w:w="204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无线电管理信息系统维保服务</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服务类别</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服务内容</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4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服务内容</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信息系统巡检服务</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418"/>
                        <w:vMerge/>
                        <w:tcBorders>
                          <w:top w:val="none" w:color="000000" w:sz="4"/>
                          <w:left w:val="non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信息系统技术指导服务</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418"/>
                        <w:vMerge/>
                        <w:tcBorders>
                          <w:top w:val="none" w:color="000000" w:sz="4"/>
                          <w:left w:val="non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信息系统技术支持服务</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418"/>
                        <w:vMerge/>
                        <w:tcBorders>
                          <w:top w:val="none" w:color="000000" w:sz="4"/>
                          <w:left w:val="non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信息系统软件版本内优化服务</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418"/>
                        <w:vMerge/>
                        <w:tcBorders>
                          <w:top w:val="none" w:color="000000" w:sz="4"/>
                          <w:left w:val="none" w:color="000000" w:sz="4"/>
                          <w:bottom w:val="single" w:color="000000" w:sz="4"/>
                          <w:right w:val="single" w:color="000000" w:sz="4"/>
                        </w:tcBorders>
                      </w:tc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备份（恢复）服务</w:t>
                        </w:r>
                      </w:p>
                    </w:tc>
                  </w:tr>
                </w:tbl>
                <w:p>
                  <w:pPr>
                    <w:pStyle w:val="null3"/>
                    <w:jc w:val="both"/>
                  </w:pPr>
                  <w:r>
                    <w:rPr>
                      <w:rFonts w:ascii="仿宋_GB2312" w:hAnsi="仿宋_GB2312" w:cs="仿宋_GB2312" w:eastAsia="仿宋_GB2312"/>
                      <w:sz w:val="20"/>
                    </w:rPr>
                    <w:t>1）信息系统巡检服务</w:t>
                  </w:r>
                </w:p>
                <w:p>
                  <w:pPr>
                    <w:pStyle w:val="null3"/>
                    <w:jc w:val="both"/>
                  </w:pPr>
                  <w:r>
                    <w:rPr>
                      <w:rFonts w:ascii="仿宋_GB2312" w:hAnsi="仿宋_GB2312" w:cs="仿宋_GB2312" w:eastAsia="仿宋_GB2312"/>
                      <w:sz w:val="20"/>
                    </w:rPr>
                    <w:t>信息系统巡检工作服务期内每季度执行</w:t>
                  </w:r>
                  <w:r>
                    <w:rPr>
                      <w:rFonts w:ascii="仿宋_GB2312" w:hAnsi="仿宋_GB2312" w:cs="仿宋_GB2312" w:eastAsia="仿宋_GB2312"/>
                      <w:sz w:val="20"/>
                    </w:rPr>
                    <w:t>1次，服务期内中标方技术服务人员巡检时检查项目范围内各个系统硬件及基础软件运行状态，发现问题及时处理。巡检完成后形成巡检记录文件，并定期提交采购方相关负责人进行确认。</w:t>
                  </w:r>
                </w:p>
                <w:p>
                  <w:pPr>
                    <w:pStyle w:val="null3"/>
                    <w:jc w:val="both"/>
                  </w:pPr>
                  <w:r>
                    <w:rPr>
                      <w:rFonts w:ascii="仿宋_GB2312" w:hAnsi="仿宋_GB2312" w:cs="仿宋_GB2312" w:eastAsia="仿宋_GB2312"/>
                      <w:sz w:val="20"/>
                    </w:rPr>
                    <w:t>2）信息系统技术咨询与指导服务</w:t>
                  </w:r>
                </w:p>
                <w:p>
                  <w:pPr>
                    <w:pStyle w:val="null3"/>
                    <w:jc w:val="both"/>
                  </w:pPr>
                  <w:r>
                    <w:rPr>
                      <w:rFonts w:ascii="仿宋_GB2312" w:hAnsi="仿宋_GB2312" w:cs="仿宋_GB2312" w:eastAsia="仿宋_GB2312"/>
                      <w:sz w:val="20"/>
                    </w:rPr>
                    <w:t>采购方用户在使用信息系统过程中如果有使用方法或者相关业务咨询等问题时，可随时联系到中标方技术服务人员，技术服务人员通过电话远程或现场方式对用户进行技术指导和答疑。</w:t>
                  </w:r>
                </w:p>
                <w:p>
                  <w:pPr>
                    <w:pStyle w:val="null3"/>
                    <w:jc w:val="both"/>
                  </w:pPr>
                  <w:r>
                    <w:rPr>
                      <w:rFonts w:ascii="仿宋_GB2312" w:hAnsi="仿宋_GB2312" w:cs="仿宋_GB2312" w:eastAsia="仿宋_GB2312"/>
                      <w:sz w:val="20"/>
                    </w:rPr>
                    <w:t>3）信息系统技术支持服务</w:t>
                  </w:r>
                </w:p>
                <w:p>
                  <w:pPr>
                    <w:pStyle w:val="null3"/>
                    <w:jc w:val="both"/>
                  </w:pPr>
                  <w:r>
                    <w:rPr>
                      <w:rFonts w:ascii="仿宋_GB2312" w:hAnsi="仿宋_GB2312" w:cs="仿宋_GB2312" w:eastAsia="仿宋_GB2312"/>
                      <w:sz w:val="20"/>
                    </w:rPr>
                    <w:t>维保服务期限内中标方技术服务人员负责对项目范围内的全部软件系统提供</w:t>
                  </w:r>
                  <w:r>
                    <w:rPr>
                      <w:rFonts w:ascii="仿宋_GB2312" w:hAnsi="仿宋_GB2312" w:cs="仿宋_GB2312" w:eastAsia="仿宋_GB2312"/>
                      <w:sz w:val="20"/>
                    </w:rPr>
                    <w:t>7*24小时技术支持服务，需具有完善的技术支持(故障处理)流程，采购方用户在遇到问题时可以第一时间通过电话、网络等方式联系中标方技术服务人员，并在 24 小时内完成故障处理工作，保证软件系统的正常运行。技术服务人员在技术支持服务完成后填写记录文件，并定期提交采购方相关负责人进行确认。</w:t>
                  </w:r>
                </w:p>
                <w:p>
                  <w:pPr>
                    <w:pStyle w:val="null3"/>
                    <w:jc w:val="both"/>
                  </w:pPr>
                  <w:r>
                    <w:rPr>
                      <w:rFonts w:ascii="仿宋_GB2312" w:hAnsi="仿宋_GB2312" w:cs="仿宋_GB2312" w:eastAsia="仿宋_GB2312"/>
                      <w:sz w:val="20"/>
                    </w:rPr>
                    <w:t>中标方所提供的技术支持服务包含但不限于以下内容：</w:t>
                  </w:r>
                </w:p>
                <w:p>
                  <w:pPr>
                    <w:pStyle w:val="null3"/>
                    <w:jc w:val="both"/>
                  </w:pPr>
                  <w:r>
                    <w:rPr>
                      <w:rFonts w:ascii="仿宋_GB2312" w:hAnsi="仿宋_GB2312" w:cs="仿宋_GB2312" w:eastAsia="仿宋_GB2312"/>
                      <w:sz w:val="20"/>
                    </w:rPr>
                    <w:t>信息系统各类故障处理服务，包含业务人员在使用系统时遇到环境、配置或者使用上的问题以及系统本身出现的故障等；</w:t>
                  </w:r>
                </w:p>
                <w:p>
                  <w:pPr>
                    <w:pStyle w:val="null3"/>
                    <w:jc w:val="both"/>
                  </w:pPr>
                  <w:r>
                    <w:rPr>
                      <w:rFonts w:ascii="仿宋_GB2312" w:hAnsi="仿宋_GB2312" w:cs="仿宋_GB2312" w:eastAsia="仿宋_GB2312"/>
                      <w:sz w:val="20"/>
                    </w:rPr>
                    <w:t>业务应用系统和程序客户端及运行环境安装配置服务；</w:t>
                  </w:r>
                </w:p>
                <w:p>
                  <w:pPr>
                    <w:pStyle w:val="null3"/>
                    <w:jc w:val="both"/>
                  </w:pPr>
                  <w:r>
                    <w:rPr>
                      <w:rFonts w:ascii="仿宋_GB2312" w:hAnsi="仿宋_GB2312" w:cs="仿宋_GB2312" w:eastAsia="仿宋_GB2312"/>
                      <w:sz w:val="20"/>
                    </w:rPr>
                    <w:t>业务应用系统组织机构人员信息及角色权限调整服务；</w:t>
                  </w:r>
                </w:p>
                <w:p>
                  <w:pPr>
                    <w:pStyle w:val="null3"/>
                    <w:jc w:val="both"/>
                  </w:pPr>
                  <w:r>
                    <w:rPr>
                      <w:rFonts w:ascii="仿宋_GB2312" w:hAnsi="仿宋_GB2312" w:cs="仿宋_GB2312" w:eastAsia="仿宋_GB2312"/>
                      <w:sz w:val="20"/>
                    </w:rPr>
                    <w:t>协助业务人员办理无线电频率台站相关业务工作。</w:t>
                  </w:r>
                </w:p>
                <w:p>
                  <w:pPr>
                    <w:pStyle w:val="null3"/>
                    <w:jc w:val="both"/>
                  </w:pPr>
                  <w:r>
                    <w:rPr>
                      <w:rFonts w:ascii="仿宋_GB2312" w:hAnsi="仿宋_GB2312" w:cs="仿宋_GB2312" w:eastAsia="仿宋_GB2312"/>
                      <w:sz w:val="20"/>
                    </w:rPr>
                    <w:t>4）信息系统软件版本内优化服务</w:t>
                  </w:r>
                </w:p>
                <w:p>
                  <w:pPr>
                    <w:pStyle w:val="null3"/>
                    <w:jc w:val="both"/>
                  </w:pPr>
                  <w:r>
                    <w:rPr>
                      <w:rFonts w:ascii="仿宋_GB2312" w:hAnsi="仿宋_GB2312" w:cs="仿宋_GB2312" w:eastAsia="仿宋_GB2312"/>
                      <w:sz w:val="20"/>
                    </w:rPr>
                    <w:t>在服务期内中标方需对信息系统进行优化和更新，以确保信息系统可以更加稳定可靠的运行。更新内容主要针对在业务人员使用过程中发现或者中标方在检查时发现软件系统存在问题或者缺陷漏洞进行修复后的更新。</w:t>
                  </w:r>
                </w:p>
                <w:p>
                  <w:pPr>
                    <w:pStyle w:val="null3"/>
                    <w:jc w:val="both"/>
                  </w:pPr>
                  <w:r>
                    <w:rPr>
                      <w:rFonts w:ascii="仿宋_GB2312" w:hAnsi="仿宋_GB2312" w:cs="仿宋_GB2312" w:eastAsia="仿宋_GB2312"/>
                      <w:sz w:val="20"/>
                    </w:rPr>
                    <w:t>5）备份（恢复）服务</w:t>
                  </w:r>
                </w:p>
                <w:p>
                  <w:pPr>
                    <w:pStyle w:val="null3"/>
                    <w:jc w:val="both"/>
                  </w:pPr>
                  <w:r>
                    <w:rPr>
                      <w:rFonts w:ascii="仿宋_GB2312" w:hAnsi="仿宋_GB2312" w:cs="仿宋_GB2312" w:eastAsia="仿宋_GB2312"/>
                      <w:sz w:val="20"/>
                    </w:rPr>
                    <w:t>中标方服务人员需定期对软件和数据库进行备份，确保信息系统软件和数据库出现故障或发生紧急事件后可以尽快恢复正常使用。</w:t>
                  </w:r>
                </w:p>
                <w:p>
                  <w:pPr>
                    <w:pStyle w:val="null3"/>
                    <w:jc w:val="both"/>
                  </w:pPr>
                  <w:r>
                    <w:rPr>
                      <w:rFonts w:ascii="仿宋_GB2312" w:hAnsi="仿宋_GB2312" w:cs="仿宋_GB2312" w:eastAsia="仿宋_GB2312"/>
                      <w:sz w:val="20"/>
                    </w:rPr>
                    <w:t>四、服务要求</w:t>
                  </w:r>
                </w:p>
                <w:p>
                  <w:pPr>
                    <w:pStyle w:val="null3"/>
                    <w:jc w:val="both"/>
                  </w:pPr>
                  <w:r>
                    <w:rPr>
                      <w:rFonts w:ascii="仿宋_GB2312" w:hAnsi="仿宋_GB2312" w:cs="仿宋_GB2312" w:eastAsia="仿宋_GB2312"/>
                      <w:sz w:val="20"/>
                    </w:rPr>
                    <w:t>1） 方案要求</w:t>
                  </w:r>
                </w:p>
                <w:p>
                  <w:pPr>
                    <w:pStyle w:val="null3"/>
                    <w:jc w:val="both"/>
                  </w:pPr>
                  <w:r>
                    <w:rPr>
                      <w:rFonts w:ascii="仿宋_GB2312" w:hAnsi="仿宋_GB2312" w:cs="仿宋_GB2312" w:eastAsia="仿宋_GB2312"/>
                      <w:sz w:val="20"/>
                    </w:rPr>
                    <w:t>投标方需要根据招标文件中描述运维服务的内容和要求，制定详细的服务方案，并编写到投标文件中，要求科学、合理、规范。</w:t>
                  </w:r>
                </w:p>
                <w:p>
                  <w:pPr>
                    <w:pStyle w:val="null3"/>
                    <w:jc w:val="both"/>
                  </w:pPr>
                  <w:r>
                    <w:rPr>
                      <w:rFonts w:ascii="仿宋_GB2312" w:hAnsi="仿宋_GB2312" w:cs="仿宋_GB2312" w:eastAsia="仿宋_GB2312"/>
                      <w:sz w:val="20"/>
                    </w:rPr>
                    <w:t>2） 服务方式</w:t>
                  </w:r>
                </w:p>
                <w:p>
                  <w:pPr>
                    <w:pStyle w:val="null3"/>
                    <w:jc w:val="both"/>
                  </w:pPr>
                  <w:r>
                    <w:rPr>
                      <w:rFonts w:ascii="仿宋_GB2312" w:hAnsi="仿宋_GB2312" w:cs="仿宋_GB2312" w:eastAsia="仿宋_GB2312"/>
                      <w:sz w:val="20"/>
                    </w:rPr>
                    <w:t>投标方需针对本项目建立服务团队，采用远程服务与现场服务相结合的方式，按照采购方要求提供维护服务。</w:t>
                  </w:r>
                </w:p>
                <w:p>
                  <w:pPr>
                    <w:pStyle w:val="null3"/>
                    <w:jc w:val="both"/>
                  </w:pPr>
                  <w:r>
                    <w:rPr>
                      <w:rFonts w:ascii="仿宋_GB2312" w:hAnsi="仿宋_GB2312" w:cs="仿宋_GB2312" w:eastAsia="仿宋_GB2312"/>
                      <w:sz w:val="20"/>
                    </w:rPr>
                    <w:t>3） 文档要求</w:t>
                  </w:r>
                </w:p>
                <w:p>
                  <w:pPr>
                    <w:pStyle w:val="null3"/>
                    <w:jc w:val="both"/>
                  </w:pPr>
                  <w:r>
                    <w:rPr>
                      <w:rFonts w:ascii="仿宋_GB2312" w:hAnsi="仿宋_GB2312" w:cs="仿宋_GB2312" w:eastAsia="仿宋_GB2312"/>
                      <w:sz w:val="20"/>
                    </w:rPr>
                    <w:t>运维服务人员需做好文档的记录和归档工作，包括服务总结、工作汇报及技术方案等，每季度汇总一次，提交给采购人确认。服务期结束后装订成册作为服务验收依据。</w:t>
                  </w:r>
                </w:p>
                <w:p>
                  <w:pPr>
                    <w:pStyle w:val="null3"/>
                    <w:jc w:val="both"/>
                  </w:pPr>
                  <w:r>
                    <w:rPr>
                      <w:rFonts w:ascii="仿宋_GB2312" w:hAnsi="仿宋_GB2312" w:cs="仿宋_GB2312" w:eastAsia="仿宋_GB2312"/>
                      <w:sz w:val="20"/>
                    </w:rPr>
                    <w:t>4） 管理要求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1）投标方必须配合采购方积极参与本项目的监督和管理，遵守采购方工作的相关规章制度。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投标方保证其运维服务人员具备一定的技术水平，采购方有权对不满足工作要求的服务人员向投标方提出更换要求；如发现工作上有弄虚作假情况，采购方有权做出相应处理，直至终止合同并追究投标人相应责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3）人员管理：投标方需建立完善的运维服务人员管理制度，遵守采购方的工作制度及保密制度。采购方有权根据服务人员服务质量情况要求变更运维服务人员。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4）主动服务：投标方应积极思考、不断改进服务态度和质量，变被动服务为主动服务。根据采购方的需求发展趋势，积极并及时采取措施，提前做好工作方案，及时解决。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5）质量要求 ：为确保高质量实施维保服务，投标方应制定相应的工作方案，明确质量保证措施。</w:t>
                  </w:r>
                </w:p>
                <w:p>
                  <w:pPr>
                    <w:pStyle w:val="null3"/>
                    <w:jc w:val="both"/>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1.1合同签订后5个工作日内，乙方向甲方出具合同总价款5%金额的银行保函，保函有效期截止到项目终验合格之日结束； 1.2.甲方收到乙方合格银行保函后支付全部合同总价款； 1.3.乙方承诺在甲方办理支付手续前，为甲方出具等额的符合国家规定的发票； 1.4.上述时间不包括甲方正常办理支付报批手续的时间（办理银行担保所需的手续费、担保费等全部由中标人承担）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若未能在服务期内完成合同规定的义务，由此对采购方造成的延误和一切损失，由中标人承担和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1.中标人在领取中标通知书时提供一正两副纸质投标文件，装订：纸质投标文件采用书籍（胶装）方式装订成册，与电子投标文件一致的签字、盖章的完整版本（正本为红章）。2.退还保证金： 2.1在投标截止时间前撤回已提交投标文件的投标人的投标保证金，将在招标代理机构收到投标人书面撤回通知之日起5个工作日内退还。2.2所有未中标人的投标保证金，将在中标通知书发出后5个工作日内退还。2.3中标人的投标保证金在签订合同后，执合同予以5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除明确允许供应商可以自行编写的外，投标文件按照招标文件给定的格式编制</w:t>
            </w:r>
          </w:p>
        </w:tc>
        <w:tc>
          <w:tcPr>
            <w:tcW w:type="dxa" w:w="1661"/>
          </w:tcPr>
          <w:p>
            <w:pPr>
              <w:pStyle w:val="null3"/>
            </w:pPr>
            <w:r>
              <w:rPr>
                <w:rFonts w:ascii="仿宋_GB2312" w:hAnsi="仿宋_GB2312" w:cs="仿宋_GB2312" w:eastAsia="仿宋_GB2312"/>
              </w:rPr>
              <w:t>业绩.docx 服务内容.docx 投标人认为需要提供的其他资料.docx 中小企业声明函 承诺书.docx 分项报价.docx 企业实力.docx 响应偏离表.docx 资格证明文件.docx 售后服务承诺及维保体系.docx 投标函 残疾人福利性单位声明函 拒绝政府采购领域商业贿赂承诺书.docx 标的清单 投标文件封面 实施方案.docx 法定代表人授权委托书.docx 组织结构及项目团队.docx 项目质量保证措施.docx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业绩.docx 服务内容.docx 投标人认为需要提供的其他资料.docx 中小企业声明函 承诺书.docx 分项报价.docx 企业实力.docx 响应偏离表.docx 资格证明文件.docx 售后服务承诺及维保体系.docx 投标函 残疾人福利性单位声明函 拒绝政府采购领域商业贿赂承诺书.docx 标的清单 投标文件封面 实施方案.docx 法定代表人授权委托书.docx 组织结构及项目团队.docx 项目质量保证措施.docx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w:t>
            </w:r>
          </w:p>
        </w:tc>
        <w:tc>
          <w:tcPr>
            <w:tcW w:type="dxa" w:w="3322"/>
          </w:tcPr>
          <w:p>
            <w:pPr>
              <w:pStyle w:val="null3"/>
            </w:pPr>
            <w:r>
              <w:rPr>
                <w:rFonts w:ascii="仿宋_GB2312" w:hAnsi="仿宋_GB2312" w:cs="仿宋_GB2312" w:eastAsia="仿宋_GB2312"/>
              </w:rPr>
              <w:t>对招标文件服务内容和要求作出明确响应，对不得偏离的要求作出实质性响应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不含有法律、法规和招标文件规定的其他无效投标情形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w:t>
            </w:r>
          </w:p>
        </w:tc>
        <w:tc>
          <w:tcPr>
            <w:tcW w:type="dxa" w:w="2492"/>
          </w:tcPr>
          <w:p>
            <w:pPr>
              <w:pStyle w:val="null3"/>
            </w:pPr>
            <w:r>
              <w:rPr>
                <w:rFonts w:ascii="仿宋_GB2312" w:hAnsi="仿宋_GB2312" w:cs="仿宋_GB2312" w:eastAsia="仿宋_GB2312"/>
              </w:rPr>
              <w:t>运维服务技术方案需具备①信息系统巡检服务、 ②信息系统技术指导服务、③信息系统技术支持服务、④信息系统优化升级服务、⑤信息系统备份（恢复）服务等5项内容。投标人完全满足以上5部分内容的，得20分，每有一项未提供，扣4分，每项中每有1处存在内容缺陷扣2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实施方案至少具备①项目特点及难点、②服务考核依据、③服务原则、④服务内容、⑤服务实施及项目验收等5项内容。投标人完全满足以上5部分内容的，得 15 分，每有一项未提供，扣3分，每项中每有1处存在内容缺陷扣1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组织结构及项目团队</w:t>
            </w:r>
          </w:p>
        </w:tc>
        <w:tc>
          <w:tcPr>
            <w:tcW w:type="dxa" w:w="2492"/>
          </w:tcPr>
          <w:p>
            <w:pPr>
              <w:pStyle w:val="null3"/>
            </w:pPr>
            <w:r>
              <w:rPr>
                <w:rFonts w:ascii="仿宋_GB2312" w:hAnsi="仿宋_GB2312" w:cs="仿宋_GB2312" w:eastAsia="仿宋_GB2312"/>
              </w:rPr>
              <w:t>根据组织结构及项目团队的人员配置进行打分： ①项目团队成员6人（含）及以上，得1分； ②项目经理同时具有信息系统项目管理师（高级）和系统分析师（高级）认证证书得4分，否则不得分； ③项目团队其他人员具备与本项目相关的证书，包括但不限于网络工程师、软件工程师，每提供一项得1分，同一人具备多项证书的只记分一次，最高得4分。 （应提供相关人员投标前 3个月内（不含投标当月）社保或劳动合同等证明材料）。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组织结构及项目团队.docx</w:t>
            </w:r>
          </w:p>
        </w:tc>
      </w:tr>
      <w:tr>
        <w:tc>
          <w:tcPr>
            <w:tcW w:type="dxa" w:w="831"/>
            <w:vMerge/>
          </w:tcPr>
          <w:p/>
        </w:tc>
        <w:tc>
          <w:tcPr>
            <w:tcW w:type="dxa" w:w="1661"/>
          </w:tcPr>
          <w:p>
            <w:pPr>
              <w:pStyle w:val="null3"/>
            </w:pPr>
            <w:r>
              <w:rPr>
                <w:rFonts w:ascii="仿宋_GB2312" w:hAnsi="仿宋_GB2312" w:cs="仿宋_GB2312" w:eastAsia="仿宋_GB2312"/>
              </w:rPr>
              <w:t>项目质量保证措施</w:t>
            </w:r>
          </w:p>
        </w:tc>
        <w:tc>
          <w:tcPr>
            <w:tcW w:type="dxa" w:w="2492"/>
          </w:tcPr>
          <w:p>
            <w:pPr>
              <w:pStyle w:val="null3"/>
            </w:pPr>
            <w:r>
              <w:rPr>
                <w:rFonts w:ascii="仿宋_GB2312" w:hAnsi="仿宋_GB2312" w:cs="仿宋_GB2312" w:eastAsia="仿宋_GB2312"/>
              </w:rPr>
              <w:t>针对本项目提供质量保证措施方案，包括但不限于： ①质量目标；②质量保障内容；③保证措施；④违约处罚承诺。 投标人完全满足以上4部分内容的，得12分；每缺一项内容扣3分，若上述内容存在缺陷，每出现一处缺陷扣2分，扣完为止。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项目质量保证措施.docx</w:t>
            </w:r>
          </w:p>
        </w:tc>
      </w:tr>
      <w:tr>
        <w:tc>
          <w:tcPr>
            <w:tcW w:type="dxa" w:w="831"/>
            <w:vMerge/>
          </w:tcPr>
          <w:p/>
        </w:tc>
        <w:tc>
          <w:tcPr>
            <w:tcW w:type="dxa" w:w="1661"/>
          </w:tcPr>
          <w:p>
            <w:pPr>
              <w:pStyle w:val="null3"/>
            </w:pPr>
            <w:r>
              <w:rPr>
                <w:rFonts w:ascii="仿宋_GB2312" w:hAnsi="仿宋_GB2312" w:cs="仿宋_GB2312" w:eastAsia="仿宋_GB2312"/>
              </w:rPr>
              <w:t>售后服务承诺及维保体系1</w:t>
            </w:r>
          </w:p>
        </w:tc>
        <w:tc>
          <w:tcPr>
            <w:tcW w:type="dxa" w:w="2492"/>
          </w:tcPr>
          <w:p>
            <w:pPr>
              <w:pStyle w:val="null3"/>
            </w:pPr>
            <w:r>
              <w:rPr>
                <w:rFonts w:ascii="仿宋_GB2312" w:hAnsi="仿宋_GB2312" w:cs="仿宋_GB2312" w:eastAsia="仿宋_GB2312"/>
              </w:rPr>
              <w:t>投标人具有完善的售后服务体系，包括但不限于①服务流程、②服务内容、③技术服务保障、④具备 7×24 小时响应机制等4项内容。投标人完全满足以上4部分内容的，得 8分，每有一项未提供，扣2分，每项中每有1处存在内容缺陷扣1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售后服务承诺及维保体系.docx</w:t>
            </w:r>
          </w:p>
        </w:tc>
      </w:tr>
      <w:tr>
        <w:tc>
          <w:tcPr>
            <w:tcW w:type="dxa" w:w="831"/>
            <w:vMerge/>
          </w:tcPr>
          <w:p/>
        </w:tc>
        <w:tc>
          <w:tcPr>
            <w:tcW w:type="dxa" w:w="1661"/>
          </w:tcPr>
          <w:p>
            <w:pPr>
              <w:pStyle w:val="null3"/>
            </w:pPr>
            <w:r>
              <w:rPr>
                <w:rFonts w:ascii="仿宋_GB2312" w:hAnsi="仿宋_GB2312" w:cs="仿宋_GB2312" w:eastAsia="仿宋_GB2312"/>
              </w:rPr>
              <w:t>售后服务承诺及维保体系2</w:t>
            </w:r>
          </w:p>
        </w:tc>
        <w:tc>
          <w:tcPr>
            <w:tcW w:type="dxa" w:w="2492"/>
          </w:tcPr>
          <w:p>
            <w:pPr>
              <w:pStyle w:val="null3"/>
            </w:pPr>
            <w:r>
              <w:rPr>
                <w:rFonts w:ascii="仿宋_GB2312" w:hAnsi="仿宋_GB2312" w:cs="仿宋_GB2312" w:eastAsia="仿宋_GB2312"/>
              </w:rPr>
              <w:t>承诺响应时间 30 分钟，24 小时内完成故障处理工作，保证维护软件系统的正常运行得2分，否则不得分。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售后服务承诺及维保体系.docx</w:t>
            </w:r>
          </w:p>
        </w:tc>
      </w:tr>
      <w:tr>
        <w:tc>
          <w:tcPr>
            <w:tcW w:type="dxa" w:w="831"/>
            <w:vMerge/>
          </w:tcPr>
          <w:p/>
        </w:tc>
        <w:tc>
          <w:tcPr>
            <w:tcW w:type="dxa" w:w="1661"/>
          </w:tcPr>
          <w:p>
            <w:pPr>
              <w:pStyle w:val="null3"/>
            </w:pPr>
            <w:r>
              <w:rPr>
                <w:rFonts w:ascii="仿宋_GB2312" w:hAnsi="仿宋_GB2312" w:cs="仿宋_GB2312" w:eastAsia="仿宋_GB2312"/>
              </w:rPr>
              <w:t>售后服务承诺及维保体系3</w:t>
            </w:r>
          </w:p>
        </w:tc>
        <w:tc>
          <w:tcPr>
            <w:tcW w:type="dxa" w:w="2492"/>
          </w:tcPr>
          <w:p>
            <w:pPr>
              <w:pStyle w:val="null3"/>
            </w:pPr>
            <w:r>
              <w:rPr>
                <w:rFonts w:ascii="仿宋_GB2312" w:hAnsi="仿宋_GB2312" w:cs="仿宋_GB2312" w:eastAsia="仿宋_GB2312"/>
              </w:rPr>
              <w:t>具有完善的售后服务方案，包括但不限于①应急预案、技术支持能力， ②服务响应，③响应程度等3项内容。投标人完全满足以上3部分内容的，得6分，每有一项未提供，扣2分，每项中每有1处存在内容缺陷扣1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售后服务承诺及维保体系.docx</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投标人提供服务符合国家规范的证明（具备国家无线电监测中心无线电频率台站数据库测试报告），得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投标人提供具备运维服务能力的证明（具有电磁兼容分析、无线电频率台站管理系统、业余无线电频率台站管理系统、公众移动基站数据交互系统、无线电管理项目与资产管理信息系统的软件著作权），每提供一项得1分，最多得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提供2022年8月至今同类项目每提供一份得2分，最多得10分。 注：提供合同复印件，包括合同内容、甲乙双方名称及盖章等关键页，并加盖供应商公章。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详见附件：售后服务承诺及维保体系.docx</w:t>
      </w:r>
    </w:p>
    <w:p>
      <w:pPr>
        <w:pStyle w:val="null3"/>
        <w:ind w:firstLine="960"/>
      </w:pPr>
      <w:r>
        <w:rPr>
          <w:rFonts w:ascii="仿宋_GB2312" w:hAnsi="仿宋_GB2312" w:cs="仿宋_GB2312" w:eastAsia="仿宋_GB2312"/>
        </w:rPr>
        <w:t>详见附件：项目质量保证措施.docx</w:t>
      </w:r>
    </w:p>
    <w:p>
      <w:pPr>
        <w:pStyle w:val="null3"/>
        <w:ind w:firstLine="960"/>
      </w:pPr>
      <w:r>
        <w:rPr>
          <w:rFonts w:ascii="仿宋_GB2312" w:hAnsi="仿宋_GB2312" w:cs="仿宋_GB2312" w:eastAsia="仿宋_GB2312"/>
        </w:rPr>
        <w:t>详见附件：组织结构及项目团队.docx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