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版本号：HBZB2025-140.1B120251104001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陕西省气象预警信息精准靶向发布项目(二次)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HBZB2025-140.1B1</w:t>
      </w:r>
      <w:r>
        <w:br/>
      </w:r>
      <w:r>
        <w:br/>
      </w:r>
      <w:r>
        <w:br/>
      </w:r>
    </w:p>
    <w:p>
      <w:pPr>
        <w:pStyle w:val="null3"/>
        <w:jc w:val="center"/>
        <w:outlineLvl w:val="2"/>
      </w:pPr>
      <w:r>
        <w:rPr>
          <w:rFonts w:ascii="仿宋_GB2312" w:hAnsi="仿宋_GB2312" w:cs="仿宋_GB2312" w:eastAsia="仿宋_GB2312"/>
          <w:sz w:val="28"/>
          <w:b/>
        </w:rPr>
        <w:t>陕西省突发事件预警信息发布中心</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陕西省突发事件预警信息发布中心</w:t>
      </w:r>
      <w:r>
        <w:rPr>
          <w:rFonts w:ascii="仿宋_GB2312" w:hAnsi="仿宋_GB2312" w:cs="仿宋_GB2312" w:eastAsia="仿宋_GB2312"/>
        </w:rPr>
        <w:t>委托，拟对</w:t>
      </w:r>
      <w:r>
        <w:rPr>
          <w:rFonts w:ascii="仿宋_GB2312" w:hAnsi="仿宋_GB2312" w:cs="仿宋_GB2312" w:eastAsia="仿宋_GB2312"/>
        </w:rPr>
        <w:t>陕西省气象预警信息精准靶向发布项目(二次)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HBZB2025-140.1B1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陕西省气象预警信息精准靶向发布项目(二次)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突发事件预警信息发布中心是地方编制的陕西省气象局的直属机构，是面向社会公众和政府应急责任人提供综合预警信息服务的工作机构，主要承担陕西省突发事件预警信息发布系统建设及运行维护管理，为相关部门发布预警信息提供综合发布渠道，研究拟定相关政策和标准，指导全省开展预警信息发布业务。 依据实时天气情况，全年不间断地进行气象预警信息的精准靶向发布，确保公众和相关部门能够及时获取准确的预警信息，以便采取有效的应对措施。提升气象预警信息传递的精准性和时效性，保障人民生命财产安全。 气象预警信息靶向发布短信是基于大数据短信，对接气象预警标系统准化API接口。通过供应商短信网关，利用基站电子围栏技术，通过定位、筛选和定向传播等方式实现预警短信精准靶向发布。靶向发布依托大数据标签、位置服务和群发能力搭建大数据短信，在保护客户隐私和信息安全的前提下，利用基站覆盖和大数据技术综合分析出指定区域的常驻和漫游用户，建立实时动态的数据模型，锁定发布时效内在区域附近停留的用户，向其发布精细化气象预报预警短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投标人需在项目电子化交易系统中按要求上传相应证明文件并进行电子签章。</w:t>
      </w:r>
    </w:p>
    <w:p>
      <w:pPr>
        <w:pStyle w:val="null3"/>
      </w:pPr>
      <w:r>
        <w:rPr>
          <w:rFonts w:ascii="仿宋_GB2312" w:hAnsi="仿宋_GB2312" w:cs="仿宋_GB2312" w:eastAsia="仿宋_GB2312"/>
        </w:rPr>
        <w:t>2、税收缴纳证明：投标人提供2025年1月至今已缴纳的至少一个月的纳税证明或完税证明（除印花税以外的任意税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3、社保缴纳证明：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4、专业技术能力证明：提供具有履行合同所必需的设备和专业技术能力的承诺声明。</w:t>
      </w:r>
    </w:p>
    <w:p>
      <w:pPr>
        <w:pStyle w:val="null3"/>
      </w:pPr>
      <w:r>
        <w:rPr>
          <w:rFonts w:ascii="仿宋_GB2312" w:hAnsi="仿宋_GB2312" w:cs="仿宋_GB2312" w:eastAsia="仿宋_GB2312"/>
        </w:rPr>
        <w:t>5、无重大违法记录声明：提供参加政府采购活动前3年内，在经营活动中没有重大违法记录的书面声明。</w:t>
      </w:r>
    </w:p>
    <w:p>
      <w:pPr>
        <w:pStyle w:val="null3"/>
      </w:pPr>
      <w:r>
        <w:rPr>
          <w:rFonts w:ascii="仿宋_GB2312" w:hAnsi="仿宋_GB2312" w:cs="仿宋_GB2312" w:eastAsia="仿宋_GB2312"/>
        </w:rPr>
        <w:t>6、供应商应提供健全的财务会计制度的证明材料：提供具有财务审计资质单位出具的完整的2024年度赋码的财务审计报告（成立时间至投标文件递交截止时间不足一年的可提供成立后任意时段的资产负债表）或投标文件递交截止时间前六个月内的资信证明。</w:t>
      </w:r>
    </w:p>
    <w:p>
      <w:pPr>
        <w:pStyle w:val="null3"/>
      </w:pPr>
      <w:r>
        <w:rPr>
          <w:rFonts w:ascii="仿宋_GB2312" w:hAnsi="仿宋_GB2312" w:cs="仿宋_GB2312" w:eastAsia="仿宋_GB2312"/>
        </w:rPr>
        <w:t>7、信用记录：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p>
      <w:pPr>
        <w:pStyle w:val="null3"/>
      </w:pPr>
      <w:r>
        <w:rPr>
          <w:rFonts w:ascii="仿宋_GB2312" w:hAnsi="仿宋_GB2312" w:cs="仿宋_GB2312" w:eastAsia="仿宋_GB2312"/>
        </w:rPr>
        <w:t>8、法定代表人身份证明书或其授权委托书：法定代表人直接参加投标的，须出具法定代表人身份证明书；法定代表人授权代表参加投标的，须出具法定代表人授权委托书。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9、非联合体磋商：本项目不接受联合体磋商。：非联合体投标承诺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陕西省突发事件预警信息发布中心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西安市北关正街36号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陕西省突发事件预警信息发布中心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13572538938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任向梅、祁静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采购包1：2,299,999.98元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开户名称：陕西华博项目管理有限公司</w:t>
            </w:r>
          </w:p>
          <w:p>
            <w:pPr>
              <w:pStyle w:val="null3"/>
            </w:pPr>
            <w:r>
              <w:rPr>
                <w:rFonts w:ascii="仿宋_GB2312" w:hAnsi="仿宋_GB2312" w:cs="仿宋_GB2312" w:eastAsia="仿宋_GB2312"/>
              </w:rPr>
              <w:t>开户银行：中国建设银行股份有限公司西安高新技术产业开发区支行</w:t>
            </w:r>
          </w:p>
          <w:p>
            <w:pPr>
              <w:pStyle w:val="null3"/>
            </w:pPr>
            <w:r>
              <w:rPr>
                <w:rFonts w:ascii="仿宋_GB2312" w:hAnsi="仿宋_GB2312" w:cs="仿宋_GB2312" w:eastAsia="仿宋_GB2312"/>
              </w:rPr>
              <w:t>银行账号：61050192090000003265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代理服务费收费标准：代理服务费收费标准：参照国家计委2002年颁发的《招标代理服务收费管理暂行办法》(计价格〔2002〕1980号)的标准收取。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陕西省突发事件预警信息发布中心</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陕西省突发事件预警信息发布中心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陕西省突发事件预警信息发布中心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 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联系人：任老师、祁老师</w:t>
      </w:r>
    </w:p>
    <w:p>
      <w:pPr>
        <w:pStyle w:val="null3"/>
      </w:pPr>
      <w:r>
        <w:rPr>
          <w:rFonts w:ascii="仿宋_GB2312" w:hAnsi="仿宋_GB2312" w:cs="仿宋_GB2312" w:eastAsia="仿宋_GB2312"/>
        </w:rPr>
        <w:t>联系电话：029-86100880</w:t>
      </w:r>
    </w:p>
    <w:p>
      <w:pPr>
        <w:pStyle w:val="null3"/>
      </w:pPr>
      <w:r>
        <w:rPr>
          <w:rFonts w:ascii="仿宋_GB2312" w:hAnsi="仿宋_GB2312" w:cs="仿宋_GB2312" w:eastAsia="仿宋_GB2312"/>
        </w:rPr>
        <w:t>地址：陕西省西安市市本级陕西省西安市经济技术开发区凤城十一路文景商务广场 C座5层30502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气象预警信息靶向发布短信是基于大数据短信，对接气象预警标系统准化API接口。通过供应商短信网关，利用基站电子围栏技术，通过定位、筛选和定向传播等方式实现预警短信精准靶向发布。靶向发布依托大数据标签、位置服务和群发能力搭建大数据短信，在保护客户隐私和信息安全的前提下，利用基站覆盖和大数据技术综合分析出指定区域的常驻和漫游用户，建立实时动态的数据模型，锁定发布时效内在区域附近停留的用户，向其发布精细化气象预报预警短信。 1.提供短信网关实现气象预警信息靶向发布短信，可实现基站电子围栏技术，通过定位、筛选和定向传播等方式实现预警短信精准靶向发布。利用基站覆盖和大数据技术综合分析出指定区域的常驻和漫游用户，建立实时动态的数据模型，锁定发布时效内在区域附近停留的用户，向其发布精细化气象预报预警短信。 2.提供标准化的接口开发，实现和气象预警信息平台对接，根据预警信息平台的预警精确范围智能划分预警短信推送人群。 3.提供数据专线满足和气象预警平台和短信网关的接入功能，具体带宽和详细传输指标以发送速率、响应时间由供应商根据实际需求为准。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2,299,999.98</w:t>
      </w:r>
    </w:p>
    <w:p>
      <w:pPr>
        <w:pStyle w:val="null3"/>
      </w:pPr>
      <w:r>
        <w:rPr>
          <w:rFonts w:ascii="仿宋_GB2312" w:hAnsi="仿宋_GB2312" w:cs="仿宋_GB2312" w:eastAsia="仿宋_GB2312"/>
        </w:rPr>
        <w:t>采购包最高限价（元）: 2,299,999.98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陕西省气象预警信息精准靶向发布项目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2,299,999.98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标的名称：陕西省气象预警信息精准靶向发布项目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预警信息靶向短信功能要求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基站电子围栏技术</w:t>
            </w:r>
          </w:p>
          <w:p>
            <w:pPr>
              <w:pStyle w:val="null3"/>
              <w:jc w:val="both"/>
            </w:pPr>
            <w:r>
              <w:rPr>
                <w:rFonts w:ascii="仿宋_GB2312" w:hAnsi="仿宋_GB2312" w:cs="仿宋_GB2312" w:eastAsia="仿宋_GB2312"/>
                <w:sz w:val="24"/>
              </w:rPr>
              <w:t>气象预警信息靶向发布短信需集成基站电子围栏技术，支持基于指定区域的基站覆盖范围，划定精准的预警短信发布电子围栏区域。电子围栏区域可根据实际需求灵活调整，支持按行政区域（如市、区、县、乡镇、街道）、地理坐标范围等多种方式进行划定，且划定过程操作便捷，支持可视化操作界面。</w:t>
            </w:r>
          </w:p>
          <w:p>
            <w:pPr>
              <w:pStyle w:val="null3"/>
              <w:jc w:val="both"/>
            </w:pPr>
            <w:r>
              <w:rPr>
                <w:rFonts w:ascii="仿宋_GB2312" w:hAnsi="仿宋_GB2312" w:cs="仿宋_GB2312" w:eastAsia="仿宋_GB2312"/>
                <w:sz w:val="24"/>
              </w:rPr>
              <w:t>具备区域定位与用户筛选能力，能够结合基站覆盖数据，精准定位电子围栏区域内的移动终端用户，同时通过大数据技术综合分析用户的位置信息、通信行为等数据，区分并识别区域内的常驻用户与漫游用户。漫游用户定义为非该区域常驻，且在预警信息发布时效内进入电子围栏区域的用户。</w:t>
            </w:r>
          </w:p>
          <w:p>
            <w:pPr>
              <w:pStyle w:val="null3"/>
              <w:jc w:val="both"/>
            </w:pPr>
            <w:r>
              <w:rPr>
                <w:rFonts w:ascii="仿宋_GB2312" w:hAnsi="仿宋_GB2312" w:cs="仿宋_GB2312" w:eastAsia="仿宋_GB2312"/>
                <w:sz w:val="24"/>
              </w:rPr>
              <w:t>建立实时动态用户数据模型，模型需具备实时更新能力，更新频率不低于</w:t>
            </w:r>
            <w:r>
              <w:rPr>
                <w:rFonts w:ascii="仿宋_GB2312" w:hAnsi="仿宋_GB2312" w:cs="仿宋_GB2312" w:eastAsia="仿宋_GB2312"/>
                <w:sz w:val="24"/>
              </w:rPr>
              <w:t>10分钟/次，确保能够准确锁定在预警信息发布时效内在电子围栏区域附近停留的用户，避免遗漏目标用户或向非目标用户推送预警短信。</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预警短信精准靶向发送</w:t>
            </w:r>
          </w:p>
          <w:p>
            <w:pPr>
              <w:pStyle w:val="null3"/>
              <w:jc w:val="both"/>
            </w:pPr>
            <w:r>
              <w:rPr>
                <w:rFonts w:ascii="仿宋_GB2312" w:hAnsi="仿宋_GB2312" w:cs="仿宋_GB2312" w:eastAsia="仿宋_GB2312"/>
                <w:sz w:val="24"/>
              </w:rPr>
              <w:t>支持精细化气象预报预警短信发布，能够根据气象预警信息的级别（如蓝色、黄色、橙色、红色预警）、类型（如暴雨、台风、高温、寒潮等）、影响范围，向锁定的目标用户发布对应的精细化预警短信，短信内容需包含预警类型、预警级别、影响区域、起止时间、防御建议等关键信息。</w:t>
            </w:r>
          </w:p>
          <w:p>
            <w:pPr>
              <w:pStyle w:val="null3"/>
              <w:jc w:val="both"/>
            </w:pPr>
            <w:r>
              <w:rPr>
                <w:rFonts w:ascii="仿宋_GB2312" w:hAnsi="仿宋_GB2312" w:cs="仿宋_GB2312" w:eastAsia="仿宋_GB2312"/>
                <w:sz w:val="24"/>
              </w:rPr>
              <w:t>具备短信发送速率控制与保障能力，根据目标用户数量及预警信息的紧急程度，灵活调整短信发送速率，在保证短信发送及时性的同时，避免因发送速率过高导致通信网络拥堵或系统故障。对于红色、橙色等紧急预警信息，短信发送速率需满足在</w:t>
            </w:r>
            <w:r>
              <w:rPr>
                <w:rFonts w:ascii="仿宋_GB2312" w:hAnsi="仿宋_GB2312" w:cs="仿宋_GB2312" w:eastAsia="仿宋_GB2312"/>
                <w:sz w:val="24"/>
              </w:rPr>
              <w:t>40分钟内完成目标用户总量90%以上的短信发送；对于黄色、蓝色预警信息，短信发送速率需满足在60分钟内完成目标用户总量90%以上的短信发送。</w:t>
            </w:r>
          </w:p>
          <w:p>
            <w:pPr>
              <w:pStyle w:val="null3"/>
              <w:jc w:val="both"/>
            </w:pPr>
            <w:r>
              <w:rPr>
                <w:rFonts w:ascii="仿宋_GB2312" w:hAnsi="仿宋_GB2312" w:cs="仿宋_GB2312" w:eastAsia="仿宋_GB2312"/>
                <w:sz w:val="24"/>
              </w:rPr>
              <w:t>实现短信发送状态监控与反馈，系统需实时监控每一条预警短信的发送状态，对于发送失败的短信，需自动分析失败原因，并在条件允许的情况下进行</w:t>
            </w:r>
            <w:r>
              <w:rPr>
                <w:rFonts w:ascii="仿宋_GB2312" w:hAnsi="仿宋_GB2312" w:cs="仿宋_GB2312" w:eastAsia="仿宋_GB2312"/>
                <w:sz w:val="24"/>
              </w:rPr>
              <w:t>1-2次重试发送。同时，系统需生成短信发送统计报告，报告内容包括目标用户总数、实际发送总数、发送成功数、发送失败数、发送成功率、各时间段发送量等信息，支持导出和查看。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标准化接口开发需求</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与气象预警信息平台对接接口</w:t>
            </w:r>
          </w:p>
          <w:p>
            <w:pPr>
              <w:pStyle w:val="null3"/>
              <w:jc w:val="both"/>
            </w:pPr>
            <w:r>
              <w:rPr>
                <w:rFonts w:ascii="仿宋_GB2312" w:hAnsi="仿宋_GB2312" w:cs="仿宋_GB2312" w:eastAsia="仿宋_GB2312"/>
                <w:sz w:val="24"/>
              </w:rPr>
              <w:t>开发标准化的接口，实现与采购人现有气象预警信息平台的无缝对接，接口需遵循国家或行业相关标准规范，确保接口的兼容性、稳定性和安全性。</w:t>
            </w:r>
          </w:p>
          <w:p>
            <w:pPr>
              <w:pStyle w:val="null3"/>
              <w:jc w:val="both"/>
            </w:pPr>
            <w:r>
              <w:rPr>
                <w:rFonts w:ascii="仿宋_GB2312" w:hAnsi="仿宋_GB2312" w:cs="仿宋_GB2312" w:eastAsia="仿宋_GB2312"/>
                <w:sz w:val="24"/>
              </w:rPr>
              <w:t>接口需支持气象预警信息的实时接收功能，能够准确接收气象预警信息平台推送的预警信息数据，且数据传输格式支持常用格式。</w:t>
            </w:r>
          </w:p>
          <w:p>
            <w:pPr>
              <w:pStyle w:val="null3"/>
              <w:jc w:val="both"/>
            </w:pPr>
            <w:r>
              <w:rPr>
                <w:rFonts w:ascii="仿宋_GB2312" w:hAnsi="仿宋_GB2312" w:cs="仿宋_GB2312" w:eastAsia="仿宋_GB2312"/>
                <w:sz w:val="24"/>
              </w:rPr>
              <w:t>具备根据预警信息智能划分推送人群的能力，接口需能够将接收的气象预警信息中的预警精确范围与系统中的基站电子围栏区域进行自动匹配和关联，结合实时动态用户数据模型，实现预警信息接收与推送人群划分的自动化流程。</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接口技术保障与维护</w:t>
            </w:r>
          </w:p>
          <w:p>
            <w:pPr>
              <w:pStyle w:val="null3"/>
              <w:jc w:val="both"/>
            </w:pPr>
            <w:r>
              <w:rPr>
                <w:rFonts w:ascii="仿宋_GB2312" w:hAnsi="仿宋_GB2312" w:cs="仿宋_GB2312" w:eastAsia="仿宋_GB2312"/>
                <w:sz w:val="24"/>
              </w:rPr>
              <w:t>接口需具备身份认证与权限控制功能，采用加密认证方式对接口访问进行身份验证，只有通过认证且具备相应权限的气象预警信息平台才能访问接口，防止未授权访问、数据泄露或恶意攻击。</w:t>
            </w:r>
          </w:p>
          <w:p>
            <w:pPr>
              <w:pStyle w:val="null3"/>
              <w:jc w:val="both"/>
            </w:pPr>
            <w:r>
              <w:rPr>
                <w:rFonts w:ascii="仿宋_GB2312" w:hAnsi="仿宋_GB2312" w:cs="仿宋_GB2312" w:eastAsia="仿宋_GB2312"/>
                <w:sz w:val="24"/>
              </w:rPr>
              <w:t>接口开发完成后，供应商需配合采购人及气象预警信息平台开发团队进行接口联调测试，确保接口能够正常、稳定运行，解决联调过程中出现的技术问题。同时，在项目验收后，对于接口运行过程中出现的故障或问题，需在</w:t>
            </w:r>
            <w:r>
              <w:rPr>
                <w:rFonts w:ascii="仿宋_GB2312" w:hAnsi="仿宋_GB2312" w:cs="仿宋_GB2312" w:eastAsia="仿宋_GB2312"/>
                <w:sz w:val="24"/>
              </w:rPr>
              <w:t>2小时内响应，8小时内提供解决方案，24小时内完成修复。</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数据专线接入需求</w:t>
            </w:r>
          </w:p>
          <w:p>
            <w:pPr>
              <w:pStyle w:val="null3"/>
              <w:jc w:val="both"/>
            </w:pPr>
            <w:r>
              <w:rPr>
                <w:rFonts w:ascii="仿宋_GB2312" w:hAnsi="仿宋_GB2312" w:cs="仿宋_GB2312" w:eastAsia="仿宋_GB2312"/>
                <w:sz w:val="24"/>
              </w:rPr>
              <w:t>2.3.1</w:t>
            </w:r>
            <w:r>
              <w:rPr>
                <w:rFonts w:ascii="仿宋_GB2312" w:hAnsi="仿宋_GB2312" w:cs="仿宋_GB2312" w:eastAsia="仿宋_GB2312"/>
                <w:sz w:val="24"/>
              </w:rPr>
              <w:t>数据专线功能与性能</w:t>
            </w:r>
          </w:p>
          <w:p>
            <w:pPr>
              <w:pStyle w:val="null3"/>
              <w:jc w:val="both"/>
            </w:pPr>
            <w:r>
              <w:rPr>
                <w:rFonts w:ascii="仿宋_GB2312" w:hAnsi="仿宋_GB2312" w:cs="仿宋_GB2312" w:eastAsia="仿宋_GB2312"/>
                <w:sz w:val="24"/>
              </w:rPr>
              <w:t>提供数据专线，满足与气象预警信息平台和短信网关系统的接入需求，实现气象预警信息平台与短信网关系统之间的数据安全、稳定传输。数据专线需采用专用线路，避免与公共网络混用，确保数据传输的安全性和独立性。</w:t>
            </w:r>
          </w:p>
          <w:p>
            <w:pPr>
              <w:pStyle w:val="null3"/>
              <w:jc w:val="both"/>
            </w:pPr>
            <w:r>
              <w:rPr>
                <w:rFonts w:ascii="仿宋_GB2312" w:hAnsi="仿宋_GB2312" w:cs="仿宋_GB2312" w:eastAsia="仿宋_GB2312"/>
                <w:sz w:val="24"/>
              </w:rPr>
              <w:t>数据专线的带宽需根据实际业务需求进行配置，供应商需在项目实施前，对气象预警信息平台与短信网关系统之间的数据传输量进行评估，结合未来</w:t>
            </w:r>
            <w:r>
              <w:rPr>
                <w:rFonts w:ascii="仿宋_GB2312" w:hAnsi="仿宋_GB2312" w:cs="仿宋_GB2312" w:eastAsia="仿宋_GB2312"/>
                <w:sz w:val="24"/>
              </w:rPr>
              <w:t>3-5年的业务增长预期，提出合理的带宽配置建议，确保带宽能够满足日常数据传输需求及峰值时段的数据传输需求，避免因带宽不足导致数据传输延迟或中断。</w:t>
            </w:r>
          </w:p>
          <w:p>
            <w:pPr>
              <w:pStyle w:val="null3"/>
              <w:jc w:val="both"/>
            </w:pPr>
            <w:r>
              <w:rPr>
                <w:rFonts w:ascii="仿宋_GB2312" w:hAnsi="仿宋_GB2312" w:cs="仿宋_GB2312" w:eastAsia="仿宋_GB2312"/>
                <w:sz w:val="24"/>
              </w:rPr>
              <w:t>数据专线的传输指标需满足以下要求：</w:t>
            </w:r>
          </w:p>
          <w:p>
            <w:pPr>
              <w:pStyle w:val="null3"/>
              <w:jc w:val="both"/>
            </w:pPr>
            <w:r>
              <w:rPr>
                <w:rFonts w:ascii="仿宋_GB2312" w:hAnsi="仿宋_GB2312" w:cs="仿宋_GB2312" w:eastAsia="仿宋_GB2312"/>
                <w:sz w:val="24"/>
              </w:rPr>
              <w:t>发送速率：在传输预警信息数据、用户数据等关键数据时，数据专线的实际发送速率需不低于配置带宽的</w:t>
            </w:r>
            <w:r>
              <w:rPr>
                <w:rFonts w:ascii="仿宋_GB2312" w:hAnsi="仿宋_GB2312" w:cs="仿宋_GB2312" w:eastAsia="仿宋_GB2312"/>
                <w:sz w:val="24"/>
              </w:rPr>
              <w:t>90%，确保数据能够快速传输。</w:t>
            </w:r>
          </w:p>
          <w:p>
            <w:pPr>
              <w:pStyle w:val="null3"/>
              <w:jc w:val="both"/>
            </w:pPr>
            <w:r>
              <w:rPr>
                <w:rFonts w:ascii="仿宋_GB2312" w:hAnsi="仿宋_GB2312" w:cs="仿宋_GB2312" w:eastAsia="仿宋_GB2312"/>
                <w:sz w:val="24"/>
              </w:rPr>
              <w:t>响应时间：气象预警信息平台向短信网关系统发送数据请求后，短信网关系统的响应时间需不超过</w:t>
            </w:r>
            <w:r>
              <w:rPr>
                <w:rFonts w:ascii="仿宋_GB2312" w:hAnsi="仿宋_GB2312" w:cs="仿宋_GB2312" w:eastAsia="仿宋_GB2312"/>
                <w:sz w:val="24"/>
              </w:rPr>
              <w:t>1秒；短信网关系统向气象预警信息平台反馈数据时，响应时间需不超过1秒，确保数据交互的实时性。</w:t>
            </w:r>
          </w:p>
          <w:p>
            <w:pPr>
              <w:pStyle w:val="null3"/>
              <w:jc w:val="both"/>
            </w:pPr>
            <w:r>
              <w:rPr>
                <w:rFonts w:ascii="仿宋_GB2312" w:hAnsi="仿宋_GB2312" w:cs="仿宋_GB2312" w:eastAsia="仿宋_GB2312"/>
                <w:sz w:val="24"/>
              </w:rPr>
              <w:t>网络可用性：数据专线的年度网络可用性需不低于</w:t>
            </w:r>
            <w:r>
              <w:rPr>
                <w:rFonts w:ascii="仿宋_GB2312" w:hAnsi="仿宋_GB2312" w:cs="仿宋_GB2312" w:eastAsia="仿宋_GB2312"/>
                <w:sz w:val="24"/>
              </w:rPr>
              <w:t>99.9%，确保数据传输的连续性和稳定性。</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数据专线部署与维护</w:t>
            </w:r>
          </w:p>
          <w:p>
            <w:pPr>
              <w:pStyle w:val="null3"/>
              <w:jc w:val="both"/>
            </w:pPr>
            <w:r>
              <w:rPr>
                <w:rFonts w:ascii="仿宋_GB2312" w:hAnsi="仿宋_GB2312" w:cs="仿宋_GB2312" w:eastAsia="仿宋_GB2312"/>
                <w:sz w:val="24"/>
              </w:rPr>
              <w:t>供应商需负责数据专线的申请、部署、调试等工作，协调相关单位完成线路铺设、设备安装及配置，确保数据专线能够按时接入并正常使用。</w:t>
            </w:r>
          </w:p>
          <w:p>
            <w:pPr>
              <w:pStyle w:val="null3"/>
              <w:jc w:val="both"/>
            </w:pPr>
            <w:r>
              <w:rPr>
                <w:rFonts w:ascii="仿宋_GB2312" w:hAnsi="仿宋_GB2312" w:cs="仿宋_GB2312" w:eastAsia="仿宋_GB2312"/>
                <w:sz w:val="24"/>
              </w:rPr>
              <w:t>供应商需提供数据专线的日常维护服务，建立完善的维护机制，定期对数据专线的运行状态进行巡检，包括带宽使用情况、传输速率、响应时间、误码率等指标的监测，及时发现并处理潜在问题。若数据专线出现故障，供应商需在</w:t>
            </w:r>
            <w:r>
              <w:rPr>
                <w:rFonts w:ascii="仿宋_GB2312" w:hAnsi="仿宋_GB2312" w:cs="仿宋_GB2312" w:eastAsia="仿宋_GB2312"/>
                <w:sz w:val="24"/>
              </w:rPr>
              <w:t>30分钟内响应，协调运营商进行故障排查和修复，确保在最短时间内恢复数据传输，同时及时向采购人反馈故障处理进展情况。</w:t>
            </w:r>
          </w:p>
          <w:p>
            <w:pPr>
              <w:pStyle w:val="null3"/>
              <w:ind w:firstLine="200"/>
              <w:jc w:val="both"/>
            </w:pPr>
            <w:r>
              <w:rPr>
                <w:rFonts w:ascii="仿宋_GB2312" w:hAnsi="仿宋_GB2312" w:cs="仿宋_GB2312" w:eastAsia="仿宋_GB2312"/>
                <w:sz w:val="24"/>
              </w:rPr>
              <w:t>在数据专线的服务期限内，供应商需根据业务需求变化及技术发展情况，配合采购人对数据专线的带宽、传输指标等进行调整和优化，相关调整费用需包含在项目总报价中。</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技术支持与服务需求</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系统安装与调试</w:t>
            </w:r>
          </w:p>
          <w:p>
            <w:pPr>
              <w:pStyle w:val="null3"/>
              <w:jc w:val="both"/>
            </w:pPr>
            <w:r>
              <w:rPr>
                <w:rFonts w:ascii="仿宋_GB2312" w:hAnsi="仿宋_GB2312" w:cs="仿宋_GB2312" w:eastAsia="仿宋_GB2312"/>
                <w:sz w:val="24"/>
              </w:rPr>
              <w:t>供应商需负责短信网关系统的安装、部署与调试工作，包括硬件设备的安装、操作系统及相关软件的安装配置、系统功能模块的部署与调试等，确保系统能够正常运行，各项功能满足本采购需求的要求。</w:t>
            </w:r>
          </w:p>
          <w:p>
            <w:pPr>
              <w:pStyle w:val="null3"/>
              <w:jc w:val="both"/>
            </w:pPr>
            <w:r>
              <w:rPr>
                <w:rFonts w:ascii="仿宋_GB2312" w:hAnsi="仿宋_GB2312" w:cs="仿宋_GB2312" w:eastAsia="仿宋_GB2312"/>
                <w:sz w:val="24"/>
              </w:rPr>
              <w:t>在系统安装调试前，供应商需制定详细的安装调试方案，方案内容包括项目团队组成、实施步骤、时间节点、风险预案等，报采购人审核通过后实施。安装调试过程中，供应商需接受采购人的监督和检查，及时向采购人反馈实施进展情况，对于采购人提出的合理建议，需及时调整方案并落实。</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售后服务与技术支持</w:t>
            </w:r>
          </w:p>
          <w:p>
            <w:pPr>
              <w:pStyle w:val="null3"/>
              <w:jc w:val="both"/>
            </w:pPr>
            <w:r>
              <w:rPr>
                <w:rFonts w:ascii="仿宋_GB2312" w:hAnsi="仿宋_GB2312" w:cs="仿宋_GB2312" w:eastAsia="仿宋_GB2312"/>
                <w:sz w:val="24"/>
              </w:rPr>
              <w:t>供应商需提供服务期内的免费售后服务与技术支持。售后服务内容包括系统故障维修、功能优化升级、技术咨询等。</w:t>
            </w:r>
          </w:p>
          <w:p>
            <w:pPr>
              <w:pStyle w:val="null3"/>
              <w:jc w:val="both"/>
            </w:pPr>
            <w:r>
              <w:rPr>
                <w:rFonts w:ascii="仿宋_GB2312" w:hAnsi="仿宋_GB2312" w:cs="仿宋_GB2312" w:eastAsia="仿宋_GB2312"/>
                <w:sz w:val="24"/>
              </w:rPr>
              <w:t>建立完善的售后服务响应机制，提供</w:t>
            </w:r>
            <w:r>
              <w:rPr>
                <w:rFonts w:ascii="仿宋_GB2312" w:hAnsi="仿宋_GB2312" w:cs="仿宋_GB2312" w:eastAsia="仿宋_GB2312"/>
                <w:sz w:val="24"/>
              </w:rPr>
              <w:t>7×24小时的技术支持热线，确保采购人在遇到问题时能够及时联系到技术支持人员。对于一般技术咨询，需在1小时内给予答复；对于系统故障问题，需在2小时内响应，远程排查并尝试解决，若远程无法解决，需在24小时内派遣技术人员到达现场进行维修，故障修复时间原则上不超过48小时。</w:t>
            </w:r>
          </w:p>
          <w:p>
            <w:pPr>
              <w:pStyle w:val="null3"/>
              <w:ind w:firstLine="200"/>
              <w:jc w:val="both"/>
            </w:pPr>
            <w:r>
              <w:rPr>
                <w:rFonts w:ascii="仿宋_GB2312" w:hAnsi="仿宋_GB2312" w:cs="仿宋_GB2312" w:eastAsia="仿宋_GB2312"/>
                <w:sz w:val="24"/>
              </w:rPr>
              <w:t>定期进行售后服务回访，了解系统运行情况、采购人使用需求及意见建议，及时发现并解决潜在问题，持续提升服务质量。同时，根据气象预警业务发展需求及技术更新情况，为采购人提供系统功能优化升级建议，对于因业务需求变化产生的小型功能优化，需免费提供升级服务；对于大型功能升级，需与采购人协商确定升级方案及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项目经理具有丰富的项目管理经验，须提供信息系统项目管理师（高级）或PMP证书；技术负责人具有通信相关专业高级证书。团队其他成员提供本科及以上毕业证书或具有初级及以上技术职称证书5人。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投标人提供满足项目所要求的设施设备。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3个自然月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具体内容详见合同文本、合同附件、招标文件、投标文件国内相应的标准、规范。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，达到付款条件起30日内，支付合同总金额的50.00%，服务周期结束后支付剩余部分款项。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1.投标人应当保证所提交的所有材料真实。2.投标人交纳保证金时，标明项目编号及包号。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保证金缴纳凭证.pdf 供应商认为需要提交的其他资料.pdf 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投标人提供2025年1月至今已缴纳的至少一个月的纳税证明或完税证明（除印花税以外的任意税种），纳税证明或完税证明上应有代收机构或税务机关的公章或业务专用章，依法免税的单位应提供相关证明材料。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人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提供具有财务审计资质单位出具的完整的2024年度赋码的财务审计报告（成立时间至投标文件递交截止时间不足一年的可提供成立后任意时段的资产负债表）或投标文件递交截止时间前六个月内的资信证明。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s://www.creditchina.gov.cn)中列入失信被执行人和重大税收违法失信主体，不得为中国政府采购网(https://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法定代表人身份证明书或其授权委托书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非联合体磋商：本项目不接受联合体磋商。</w:t>
            </w:r>
          </w:p>
        </w:tc>
        <w:tc>
          <w:tcPr>
            <w:tcW w:type="dxa" w:w="3322"/>
          </w:tcPr>
          <w:p>
            <w:pPr>
              <w:pStyle w:val="null3"/>
            </w:pPr>
            <w:r>
              <w:rPr>
                <w:rFonts w:ascii="仿宋_GB2312" w:hAnsi="仿宋_GB2312" w:cs="仿宋_GB2312" w:eastAsia="仿宋_GB2312"/>
              </w:rPr>
              <w:t>非联合体投标承诺</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中小企业声明函 商务应答表 拟派项目经理简历表.pdf 供应商承诺书.pdf 资格证明文件.docx 企业近年完成的类似项目业绩汇总表.docx 投标函 残疾人福利性单位声明函 服务方案 标的清单 投标文件封面 项目组人员构成汇总表.pdf 监狱企业的证明文件 报价函.docx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应符合招标文件的要求。不得提交有选择性的报价，且不得超过采购文件规定的最高限价。</w:t>
            </w:r>
          </w:p>
        </w:tc>
        <w:tc>
          <w:tcPr>
            <w:tcW w:type="dxa" w:w="1661"/>
          </w:tcPr>
          <w:p>
            <w:pPr>
              <w:pStyle w:val="null3"/>
            </w:pPr>
            <w:r>
              <w:rPr>
                <w:rFonts w:ascii="仿宋_GB2312" w:hAnsi="仿宋_GB2312" w:cs="仿宋_GB2312" w:eastAsia="仿宋_GB2312"/>
              </w:rPr>
              <w:t>开标一览表 投标函 报价函.docx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1.投标文件中项目名称、项目编号与本项目一致。2.投标文件内容须包括但不限于：投标函、开标一览表、资格证明文件、投标人承诺书、商务应答表、服务方案等。</w:t>
            </w:r>
          </w:p>
        </w:tc>
        <w:tc>
          <w:tcPr>
            <w:tcW w:type="dxa" w:w="1661"/>
          </w:tcPr>
          <w:p>
            <w:pPr>
              <w:pStyle w:val="null3"/>
            </w:pPr>
            <w:r>
              <w:rPr>
                <w:rFonts w:ascii="仿宋_GB2312" w:hAnsi="仿宋_GB2312" w:cs="仿宋_GB2312" w:eastAsia="仿宋_GB2312"/>
              </w:rPr>
              <w:t>开标一览表 中小企业声明函 商务应答表 拟派项目经理简历表.pdf 供应商承诺书.pdf 资格证明文件.docx 企业近年完成的类似项目业绩汇总表.docx 投标函 残疾人福利性单位声明函 服务方案 标的清单 投标文件封面 监狱企业的证明文件 报价函.docx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须完全招标文件的采购需求，无负偏离。</w:t>
            </w:r>
          </w:p>
        </w:tc>
        <w:tc>
          <w:tcPr>
            <w:tcW w:type="dxa" w:w="1661"/>
          </w:tcPr>
          <w:p>
            <w:pPr>
              <w:pStyle w:val="null3"/>
            </w:pPr>
            <w:r>
              <w:rPr>
                <w:rFonts w:ascii="仿宋_GB2312" w:hAnsi="仿宋_GB2312" w:cs="仿宋_GB2312" w:eastAsia="仿宋_GB2312"/>
              </w:rPr>
              <w:t>开标一览表 投标函 商务应答表 标的清单 投标文件封面 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符合招标文件的要求。（投标文件须附保证金交纳凭证）</w:t>
            </w:r>
          </w:p>
        </w:tc>
        <w:tc>
          <w:tcPr>
            <w:tcW w:type="dxa" w:w="1661"/>
          </w:tcPr>
          <w:p>
            <w:pPr>
              <w:pStyle w:val="null3"/>
            </w:pPr>
            <w:r>
              <w:rPr>
                <w:rFonts w:ascii="仿宋_GB2312" w:hAnsi="仿宋_GB2312" w:cs="仿宋_GB2312" w:eastAsia="仿宋_GB2312"/>
              </w:rPr>
              <w:t>保证金缴纳凭证.pdf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投标人根据本项目需求，提供对项目的总体架构和技术方案，内容包含但不限于：阐述系统的功能及结构设计；总体架构、技术方案、建设方案等； 服务方案具有针对性、可行性、全面性、优越性的得（15-24]；服务方案完整合理可行的得（7-15]；服务方案简单笼统或存在缺陷的得（0-7]；不提供不得分。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项目经理具有丰富的项目管理经验，须提供信息系统项目管理师（高级）或PMP证书；满足得3分，否则不得分； 技术负责人具有通信相关专业高级证书。满足得2分，否则不得分； 团队其他成员提供本科及以上毕业证书或具有初级及以上技术职称证书5人，每提供1人得2分满分10分。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拟派项目经理简历表.pdf</w:t>
            </w:r>
          </w:p>
          <w:p>
            <w:pPr>
              <w:pStyle w:val="null3"/>
            </w:pPr>
            <w:r>
              <w:rPr>
                <w:rFonts w:ascii="仿宋_GB2312" w:hAnsi="仿宋_GB2312" w:cs="仿宋_GB2312" w:eastAsia="仿宋_GB2312"/>
              </w:rPr>
              <w:t>项目组人员构成汇总表.pdf</w:t>
            </w:r>
          </w:p>
        </w:tc>
      </w:tr>
      <w:tr>
        <w:tc>
          <w:tcPr>
            <w:tcW w:type="dxa" w:w="831"/>
            <w:vMerge/>
          </w:tcPr>
          <w:p/>
        </w:tc>
        <w:tc>
          <w:tcPr>
            <w:tcW w:type="dxa" w:w="1661"/>
          </w:tcPr>
          <w:p>
            <w:pPr>
              <w:pStyle w:val="null3"/>
            </w:pPr>
            <w:r>
              <w:rPr>
                <w:rFonts w:ascii="仿宋_GB2312" w:hAnsi="仿宋_GB2312" w:cs="仿宋_GB2312" w:eastAsia="仿宋_GB2312"/>
              </w:rPr>
              <w:t>售后服务保障能力</w:t>
            </w:r>
          </w:p>
        </w:tc>
        <w:tc>
          <w:tcPr>
            <w:tcW w:type="dxa" w:w="2492"/>
          </w:tcPr>
          <w:p>
            <w:pPr>
              <w:pStyle w:val="null3"/>
            </w:pPr>
            <w:r>
              <w:rPr>
                <w:rFonts w:ascii="仿宋_GB2312" w:hAnsi="仿宋_GB2312" w:cs="仿宋_GB2312" w:eastAsia="仿宋_GB2312"/>
              </w:rPr>
              <w:t>投标人为本项目提供售后服务保障能力，内容包括但不限于：售后服务保障；发送短信统计日志；系统安全服务；响应时间； 以上内容完整，方案措施具有完整性、合理性，针对性强，表述清晰得（7-10]； 方案内容无缺漏，对所要求内容描述基本符合的得（4-7]； 方案内容对所要求内容描述缺失，无针对性的得（0-4]；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根据投标人提供的应急响应方案，包括应急响应方式及时间等情况打分。 方案内容完善，对所要求内容描述详尽的得（4-6]； 方案内容无缺漏，对所要求内容描述基本符合的得（2-4]； 方案内容对所要求内容描述缺失、不合理得（0-2]；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投标人提供培训方案，方案包括培训时间安排、培训内容、培训计划、培训目标和培训结果考评方式等；方案内容完善，对所要求内容描述详尽的得（7-10]； 方案内容无缺漏，对所要求内容描述基本符合的得（4-7]； 方案内容对所要求内容描述缺失、不合理的得（0-4]；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提供信息技术服务管理体系认证证书ISO20000得3分； 提供信息安全管理体系认证证书ISO27001得3分； 提供ITSS信息技术服务标准三级及以上得3分； 提供ITSS云服务标准证书三级及以上得3分； 提供隐私信息管理体系ISO/IEC 27701得3分；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企业近年完成的类似项目业绩汇总表.docx</w:t>
            </w:r>
          </w:p>
          <w:p>
            <w:pPr>
              <w:pStyle w:val="null3"/>
            </w:pPr>
            <w:r>
              <w:rPr>
                <w:rFonts w:ascii="仿宋_GB2312" w:hAnsi="仿宋_GB2312" w:cs="仿宋_GB2312" w:eastAsia="仿宋_GB2312"/>
              </w:rPr>
              <w:t>拟派项目经理简历表.pdf</w:t>
            </w:r>
          </w:p>
          <w:p>
            <w:pPr>
              <w:pStyle w:val="null3"/>
            </w:pPr>
            <w:r>
              <w:rPr>
                <w:rFonts w:ascii="仿宋_GB2312" w:hAnsi="仿宋_GB2312" w:cs="仿宋_GB2312" w:eastAsia="仿宋_GB2312"/>
              </w:rPr>
              <w:t>项目组人员构成汇总表.pdf</w:t>
            </w:r>
          </w:p>
          <w:p>
            <w:pPr>
              <w:pStyle w:val="null3"/>
            </w:pPr>
            <w:r>
              <w:rPr>
                <w:rFonts w:ascii="仿宋_GB2312" w:hAnsi="仿宋_GB2312" w:cs="仿宋_GB2312" w:eastAsia="仿宋_GB2312"/>
              </w:rPr>
              <w:t>供应商认为需要提交的其他资料.pdf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投标人提供2022年1月1日（含）至今（以合同签订日期为准）类似项目业绩，每提供1个业绩得2分，满分10分。 说明：以投标文件提供的合同复印件为准，弄虚作假者取消其中标资格。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企业近年完成的类似项目业绩汇总表.docx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详见附件：报价函.docx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详见附件：企业近年完成的类似项目业绩汇总表.docx</w:t>
      </w:r>
    </w:p>
    <w:p>
      <w:pPr>
        <w:pStyle w:val="null3"/>
        <w:ind w:firstLine="960"/>
      </w:pPr>
      <w:r>
        <w:rPr>
          <w:rFonts w:ascii="仿宋_GB2312" w:hAnsi="仿宋_GB2312" w:cs="仿宋_GB2312" w:eastAsia="仿宋_GB2312"/>
        </w:rPr>
        <w:t>详见附件：拟派项目经理简历表.pdf</w:t>
      </w:r>
    </w:p>
    <w:p>
      <w:pPr>
        <w:pStyle w:val="null3"/>
        <w:ind w:firstLine="960"/>
      </w:pPr>
      <w:r>
        <w:rPr>
          <w:rFonts w:ascii="仿宋_GB2312" w:hAnsi="仿宋_GB2312" w:cs="仿宋_GB2312" w:eastAsia="仿宋_GB2312"/>
        </w:rPr>
        <w:t>详见附件：项目组人员构成汇总表.pdf</w:t>
      </w:r>
    </w:p>
    <w:p>
      <w:pPr>
        <w:pStyle w:val="null3"/>
        <w:ind w:firstLine="960"/>
      </w:pPr>
      <w:r>
        <w:rPr>
          <w:rFonts w:ascii="仿宋_GB2312" w:hAnsi="仿宋_GB2312" w:cs="仿宋_GB2312" w:eastAsia="仿宋_GB2312"/>
        </w:rPr>
        <w:t>详见附件：保证金缴纳凭证.pdf</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详见附件：供应商认为需要提交的其他资料.pdf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