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84DF92">
      <w:pPr>
        <w:pStyle w:val="12"/>
        <w:numPr>
          <w:ilvl w:val="0"/>
          <w:numId w:val="0"/>
        </w:numPr>
        <w:jc w:val="center"/>
        <w:outlineLvl w:val="1"/>
        <w:rPr>
          <w:rFonts w:ascii="微软雅黑" w:hAnsi="微软雅黑" w:eastAsia="微软雅黑" w:cs="微软雅黑"/>
          <w:spacing w:val="-6"/>
          <w:sz w:val="44"/>
          <w:szCs w:val="44"/>
        </w:rPr>
      </w:pPr>
    </w:p>
    <w:p w14:paraId="09B1BCC6">
      <w:pPr>
        <w:pStyle w:val="12"/>
        <w:numPr>
          <w:ilvl w:val="0"/>
          <w:numId w:val="0"/>
        </w:numPr>
        <w:jc w:val="center"/>
        <w:outlineLvl w:val="1"/>
        <w:rPr>
          <w:rFonts w:ascii="微软雅黑" w:hAnsi="微软雅黑" w:eastAsia="微软雅黑" w:cs="微软雅黑"/>
          <w:spacing w:val="-6"/>
          <w:sz w:val="44"/>
          <w:szCs w:val="44"/>
        </w:rPr>
      </w:pPr>
    </w:p>
    <w:p w14:paraId="3F5ED7AE">
      <w:pPr>
        <w:pStyle w:val="12"/>
        <w:numPr>
          <w:ilvl w:val="0"/>
          <w:numId w:val="0"/>
        </w:numPr>
        <w:jc w:val="center"/>
        <w:outlineLvl w:val="1"/>
        <w:rPr>
          <w:rFonts w:ascii="微软雅黑" w:hAnsi="微软雅黑" w:eastAsia="微软雅黑" w:cs="微软雅黑"/>
          <w:spacing w:val="-6"/>
          <w:sz w:val="44"/>
          <w:szCs w:val="44"/>
        </w:rPr>
      </w:pPr>
      <w:bookmarkStart w:id="0" w:name="_GoBack"/>
      <w:bookmarkEnd w:id="0"/>
    </w:p>
    <w:p w14:paraId="0B97B96A">
      <w:pPr>
        <w:pStyle w:val="12"/>
        <w:numPr>
          <w:ilvl w:val="0"/>
          <w:numId w:val="0"/>
        </w:numPr>
        <w:jc w:val="center"/>
        <w:outlineLvl w:val="1"/>
        <w:rPr>
          <w:rFonts w:ascii="微软雅黑" w:hAnsi="微软雅黑" w:eastAsia="微软雅黑" w:cs="微软雅黑"/>
          <w:spacing w:val="-6"/>
          <w:sz w:val="44"/>
          <w:szCs w:val="44"/>
        </w:rPr>
      </w:pPr>
    </w:p>
    <w:p w14:paraId="51B6F5EB">
      <w:pPr>
        <w:pStyle w:val="12"/>
        <w:numPr>
          <w:ilvl w:val="0"/>
          <w:numId w:val="0"/>
        </w:numPr>
        <w:jc w:val="center"/>
        <w:outlineLvl w:val="1"/>
        <w:rPr>
          <w:rFonts w:ascii="微软雅黑" w:hAnsi="微软雅黑" w:eastAsia="微软雅黑" w:cs="微软雅黑"/>
          <w:sz w:val="44"/>
          <w:szCs w:val="44"/>
        </w:rPr>
      </w:pPr>
      <w:r>
        <w:rPr>
          <w:rFonts w:ascii="微软雅黑" w:hAnsi="微软雅黑" w:eastAsia="微软雅黑" w:cs="微软雅黑"/>
          <w:spacing w:val="-6"/>
          <w:sz w:val="44"/>
          <w:szCs w:val="44"/>
        </w:rPr>
        <w:t>政府采购合同（示范文本）</w:t>
      </w:r>
    </w:p>
    <w:p w14:paraId="467DF280">
      <w:pPr>
        <w:spacing w:line="254" w:lineRule="auto"/>
        <w:rPr>
          <w:rFonts w:ascii="Arial"/>
          <w:sz w:val="21"/>
        </w:rPr>
      </w:pPr>
    </w:p>
    <w:p w14:paraId="16600289">
      <w:pPr>
        <w:spacing w:line="254" w:lineRule="auto"/>
        <w:rPr>
          <w:rFonts w:ascii="Arial"/>
          <w:sz w:val="21"/>
        </w:rPr>
      </w:pPr>
    </w:p>
    <w:p w14:paraId="2F53D4B7">
      <w:pPr>
        <w:keepNext w:val="0"/>
        <w:keepLines w:val="0"/>
        <w:pageBreakBefore w:val="0"/>
        <w:widowControl w:val="0"/>
        <w:kinsoku/>
        <w:wordWrap/>
        <w:overflowPunct/>
        <w:topLinePunct w:val="0"/>
        <w:autoSpaceDE/>
        <w:autoSpaceDN/>
        <w:bidi w:val="0"/>
        <w:adjustRightInd/>
        <w:snapToGrid/>
        <w:spacing w:before="78" w:line="480" w:lineRule="auto"/>
        <w:ind w:left="1908"/>
        <w:textAlignment w:val="auto"/>
        <w:rPr>
          <w:rFonts w:ascii="宋体" w:hAnsi="宋体" w:eastAsia="宋体" w:cs="宋体"/>
          <w:spacing w:val="-3"/>
          <w:sz w:val="24"/>
          <w:szCs w:val="24"/>
        </w:rPr>
      </w:pPr>
    </w:p>
    <w:p w14:paraId="1CADB76B">
      <w:pPr>
        <w:keepNext w:val="0"/>
        <w:keepLines w:val="0"/>
        <w:pageBreakBefore w:val="0"/>
        <w:widowControl w:val="0"/>
        <w:kinsoku/>
        <w:wordWrap/>
        <w:overflowPunct/>
        <w:topLinePunct w:val="0"/>
        <w:autoSpaceDE/>
        <w:autoSpaceDN/>
        <w:bidi w:val="0"/>
        <w:adjustRightInd/>
        <w:snapToGrid/>
        <w:spacing w:before="78" w:line="480" w:lineRule="auto"/>
        <w:ind w:left="1908"/>
        <w:textAlignment w:val="auto"/>
        <w:rPr>
          <w:rFonts w:ascii="宋体" w:hAnsi="宋体" w:eastAsia="宋体" w:cs="宋体"/>
          <w:spacing w:val="-3"/>
          <w:sz w:val="24"/>
          <w:szCs w:val="24"/>
        </w:rPr>
      </w:pPr>
    </w:p>
    <w:p w14:paraId="6BCD9551">
      <w:pPr>
        <w:keepNext w:val="0"/>
        <w:keepLines w:val="0"/>
        <w:pageBreakBefore w:val="0"/>
        <w:widowControl w:val="0"/>
        <w:kinsoku/>
        <w:wordWrap/>
        <w:overflowPunct/>
        <w:topLinePunct w:val="0"/>
        <w:autoSpaceDE/>
        <w:autoSpaceDN/>
        <w:bidi w:val="0"/>
        <w:adjustRightInd/>
        <w:snapToGrid/>
        <w:spacing w:before="78" w:line="480" w:lineRule="auto"/>
        <w:ind w:left="1908"/>
        <w:textAlignment w:val="auto"/>
        <w:rPr>
          <w:rFonts w:ascii="宋体" w:hAnsi="宋体" w:eastAsia="宋体" w:cs="宋体"/>
          <w:sz w:val="24"/>
          <w:szCs w:val="24"/>
        </w:rPr>
      </w:pPr>
      <w:r>
        <w:rPr>
          <w:rFonts w:ascii="宋体" w:hAnsi="宋体" w:eastAsia="宋体" w:cs="宋体"/>
          <w:spacing w:val="-3"/>
          <w:sz w:val="24"/>
          <w:szCs w:val="24"/>
        </w:rPr>
        <w:t>合同编号：</w:t>
      </w:r>
      <w:r>
        <w:rPr>
          <w:rFonts w:ascii="宋体" w:hAnsi="宋体" w:eastAsia="宋体" w:cs="宋体"/>
          <w:sz w:val="24"/>
          <w:szCs w:val="24"/>
          <w:u w:val="single" w:color="auto"/>
        </w:rPr>
        <w:t xml:space="preserve">                         </w:t>
      </w:r>
    </w:p>
    <w:p w14:paraId="1EFD0D84">
      <w:pPr>
        <w:keepNext w:val="0"/>
        <w:keepLines w:val="0"/>
        <w:pageBreakBefore w:val="0"/>
        <w:widowControl w:val="0"/>
        <w:kinsoku/>
        <w:wordWrap/>
        <w:overflowPunct/>
        <w:topLinePunct w:val="0"/>
        <w:autoSpaceDE/>
        <w:autoSpaceDN/>
        <w:bidi w:val="0"/>
        <w:adjustRightInd/>
        <w:snapToGrid/>
        <w:spacing w:before="183" w:line="480" w:lineRule="auto"/>
        <w:ind w:left="1938"/>
        <w:textAlignment w:val="auto"/>
        <w:rPr>
          <w:rFonts w:ascii="宋体" w:hAnsi="宋体" w:eastAsia="宋体" w:cs="宋体"/>
          <w:sz w:val="24"/>
          <w:szCs w:val="24"/>
        </w:rPr>
      </w:pPr>
      <w:r>
        <w:rPr>
          <w:rFonts w:ascii="宋体" w:hAnsi="宋体" w:eastAsia="宋体" w:cs="宋体"/>
          <w:spacing w:val="-6"/>
          <w:sz w:val="24"/>
          <w:szCs w:val="24"/>
        </w:rPr>
        <w:t>甲方（采购人</w:t>
      </w:r>
      <w:r>
        <w:rPr>
          <w:rFonts w:ascii="宋体" w:hAnsi="宋体" w:eastAsia="宋体" w:cs="宋体"/>
          <w:spacing w:val="-3"/>
          <w:sz w:val="24"/>
          <w:szCs w:val="24"/>
        </w:rPr>
        <w:t>）：</w:t>
      </w:r>
      <w:r>
        <w:rPr>
          <w:rFonts w:ascii="宋体" w:hAnsi="宋体" w:eastAsia="宋体" w:cs="宋体"/>
          <w:sz w:val="24"/>
          <w:szCs w:val="24"/>
          <w:u w:val="single" w:color="auto"/>
        </w:rPr>
        <w:t xml:space="preserve">                    </w:t>
      </w:r>
    </w:p>
    <w:p w14:paraId="1D17A8CC">
      <w:pPr>
        <w:keepNext w:val="0"/>
        <w:keepLines w:val="0"/>
        <w:pageBreakBefore w:val="0"/>
        <w:widowControl w:val="0"/>
        <w:kinsoku/>
        <w:wordWrap/>
        <w:overflowPunct/>
        <w:topLinePunct w:val="0"/>
        <w:autoSpaceDE/>
        <w:autoSpaceDN/>
        <w:bidi w:val="0"/>
        <w:adjustRightInd/>
        <w:snapToGrid/>
        <w:spacing w:before="184" w:line="480" w:lineRule="auto"/>
        <w:ind w:left="1906"/>
        <w:textAlignment w:val="auto"/>
        <w:rPr>
          <w:rFonts w:ascii="宋体" w:hAnsi="宋体" w:eastAsia="宋体" w:cs="宋体"/>
          <w:sz w:val="24"/>
          <w:szCs w:val="24"/>
        </w:rPr>
      </w:pPr>
      <w:r>
        <w:rPr>
          <w:rFonts w:ascii="宋体" w:hAnsi="宋体" w:eastAsia="宋体" w:cs="宋体"/>
          <w:spacing w:val="-3"/>
          <w:sz w:val="24"/>
          <w:szCs w:val="24"/>
        </w:rPr>
        <w:t>住所地：</w:t>
      </w:r>
      <w:r>
        <w:rPr>
          <w:rFonts w:ascii="宋体" w:hAnsi="宋体" w:eastAsia="宋体" w:cs="宋体"/>
          <w:sz w:val="24"/>
          <w:szCs w:val="24"/>
          <w:u w:val="single" w:color="auto"/>
        </w:rPr>
        <w:t xml:space="preserve">                           </w:t>
      </w:r>
    </w:p>
    <w:p w14:paraId="3C666262">
      <w:pPr>
        <w:keepNext w:val="0"/>
        <w:keepLines w:val="0"/>
        <w:pageBreakBefore w:val="0"/>
        <w:widowControl w:val="0"/>
        <w:kinsoku/>
        <w:wordWrap/>
        <w:overflowPunct/>
        <w:topLinePunct w:val="0"/>
        <w:autoSpaceDE/>
        <w:autoSpaceDN/>
        <w:bidi w:val="0"/>
        <w:adjustRightInd/>
        <w:snapToGrid/>
        <w:spacing w:before="182" w:line="480" w:lineRule="auto"/>
        <w:ind w:left="1930"/>
        <w:textAlignment w:val="auto"/>
        <w:rPr>
          <w:rFonts w:ascii="宋体" w:hAnsi="宋体" w:eastAsia="宋体" w:cs="宋体"/>
          <w:sz w:val="24"/>
          <w:szCs w:val="24"/>
        </w:rPr>
      </w:pPr>
      <w:r>
        <w:rPr>
          <w:rFonts w:ascii="宋体" w:hAnsi="宋体" w:eastAsia="宋体" w:cs="宋体"/>
          <w:spacing w:val="-5"/>
          <w:sz w:val="24"/>
          <w:szCs w:val="24"/>
        </w:rPr>
        <w:t>乙方（中标人</w:t>
      </w:r>
      <w:r>
        <w:rPr>
          <w:rFonts w:ascii="宋体" w:hAnsi="宋体" w:eastAsia="宋体" w:cs="宋体"/>
          <w:spacing w:val="-2"/>
          <w:sz w:val="24"/>
          <w:szCs w:val="24"/>
        </w:rPr>
        <w:t>）：</w:t>
      </w:r>
      <w:r>
        <w:rPr>
          <w:rFonts w:ascii="宋体" w:hAnsi="宋体" w:eastAsia="宋体" w:cs="宋体"/>
          <w:sz w:val="24"/>
          <w:szCs w:val="24"/>
          <w:u w:val="single" w:color="auto"/>
        </w:rPr>
        <w:t xml:space="preserve">                    </w:t>
      </w:r>
    </w:p>
    <w:p w14:paraId="232E4C56">
      <w:pPr>
        <w:keepNext w:val="0"/>
        <w:keepLines w:val="0"/>
        <w:pageBreakBefore w:val="0"/>
        <w:widowControl w:val="0"/>
        <w:kinsoku/>
        <w:wordWrap/>
        <w:overflowPunct/>
        <w:topLinePunct w:val="0"/>
        <w:autoSpaceDE/>
        <w:autoSpaceDN/>
        <w:bidi w:val="0"/>
        <w:adjustRightInd/>
        <w:snapToGrid/>
        <w:spacing w:before="182" w:line="480" w:lineRule="auto"/>
        <w:ind w:left="1906"/>
        <w:textAlignment w:val="auto"/>
        <w:rPr>
          <w:rFonts w:ascii="宋体" w:hAnsi="宋体" w:eastAsia="宋体" w:cs="宋体"/>
          <w:sz w:val="24"/>
          <w:szCs w:val="24"/>
        </w:rPr>
      </w:pPr>
      <w:r>
        <w:rPr>
          <w:rFonts w:ascii="宋体" w:hAnsi="宋体" w:eastAsia="宋体" w:cs="宋体"/>
          <w:spacing w:val="-3"/>
          <w:sz w:val="24"/>
          <w:szCs w:val="24"/>
        </w:rPr>
        <w:t>住所地：</w:t>
      </w:r>
      <w:r>
        <w:rPr>
          <w:rFonts w:ascii="宋体" w:hAnsi="宋体" w:eastAsia="宋体" w:cs="宋体"/>
          <w:sz w:val="24"/>
          <w:szCs w:val="24"/>
          <w:u w:val="single" w:color="auto"/>
        </w:rPr>
        <w:t xml:space="preserve">                          </w:t>
      </w:r>
    </w:p>
    <w:p w14:paraId="17192A08">
      <w:pPr>
        <w:rPr>
          <w:rFonts w:hint="eastAsia"/>
          <w:lang w:val="en-US" w:eastAsia="zh-Hans"/>
        </w:rPr>
      </w:pPr>
      <w:r>
        <w:rPr>
          <w:rFonts w:hint="eastAsia"/>
          <w:lang w:val="en-US" w:eastAsia="zh-Hans"/>
        </w:rPr>
        <w:br w:type="page"/>
      </w:r>
    </w:p>
    <w:p w14:paraId="7E98E401">
      <w:pPr>
        <w:pStyle w:val="12"/>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乙方于</w:t>
      </w:r>
      <w:r>
        <w:rPr>
          <w:rFonts w:hint="eastAsia" w:ascii="宋体" w:hAnsi="宋体" w:eastAsia="宋体" w:cs="宋体"/>
          <w:sz w:val="24"/>
          <w:szCs w:val="24"/>
          <w:u w:val="single"/>
          <w:lang w:val="en-US" w:eastAsia="zh-Hans"/>
        </w:rPr>
        <w:t xml:space="preserve">     年   月    日</w:t>
      </w:r>
      <w:r>
        <w:rPr>
          <w:rFonts w:hint="eastAsia" w:ascii="宋体" w:hAnsi="宋体" w:eastAsia="宋体" w:cs="宋体"/>
          <w:sz w:val="24"/>
          <w:szCs w:val="24"/>
          <w:lang w:val="en-US" w:eastAsia="zh-Hans"/>
        </w:rPr>
        <w:t>参加了</w:t>
      </w:r>
      <w:r>
        <w:rPr>
          <w:rFonts w:hint="eastAsia" w:ascii="宋体" w:hAnsi="宋体" w:eastAsia="宋体" w:cs="宋体"/>
          <w:sz w:val="24"/>
          <w:szCs w:val="24"/>
          <w:u w:val="single"/>
          <w:lang w:val="en-US" w:eastAsia="zh-Hans"/>
        </w:rPr>
        <w:t xml:space="preserve"> （采购人或者代理机构）</w:t>
      </w:r>
      <w:r>
        <w:rPr>
          <w:rFonts w:hint="eastAsia" w:ascii="宋体" w:hAnsi="宋体" w:eastAsia="宋体" w:cs="宋体"/>
          <w:sz w:val="24"/>
          <w:szCs w:val="24"/>
          <w:lang w:val="en-US" w:eastAsia="zh-Hans"/>
        </w:rPr>
        <w:t xml:space="preserve"> 组织的</w:t>
      </w:r>
      <w:r>
        <w:rPr>
          <w:rFonts w:hint="eastAsia" w:ascii="宋体" w:hAnsi="宋体" w:eastAsia="宋体" w:cs="宋体"/>
          <w:sz w:val="24"/>
          <w:szCs w:val="24"/>
          <w:u w:val="single"/>
          <w:lang w:val="en-US" w:eastAsia="zh-Hans"/>
        </w:rPr>
        <w:t>“  （项目名称及项目编号）   ”</w:t>
      </w:r>
      <w:r>
        <w:rPr>
          <w:rFonts w:hint="eastAsia" w:ascii="宋体" w:hAnsi="宋体" w:eastAsia="宋体" w:cs="宋体"/>
          <w:sz w:val="24"/>
          <w:szCs w:val="24"/>
          <w:lang w:val="en-US" w:eastAsia="zh-Hans"/>
        </w:rPr>
        <w:t>政府采购活动，经评标委员会评审确定乙方为 （包及包名称）  中标人，按照《中华人民共和国民法典》、《中华人民共和国政府采购法》和相关的法律法规规定，以及招标文件要求，经甲乙双方协商一致，签订本政府采购合同。</w:t>
      </w:r>
    </w:p>
    <w:p w14:paraId="77AFF072">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第一条 合同标的</w:t>
      </w:r>
    </w:p>
    <w:p w14:paraId="2B820649">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服务名称：</w:t>
      </w:r>
    </w:p>
    <w:p w14:paraId="477B7043">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服务内容：</w:t>
      </w:r>
    </w:p>
    <w:p w14:paraId="5AD6D752">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技术标准：</w:t>
      </w:r>
    </w:p>
    <w:p w14:paraId="71B79AC3">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第二条  合同总金额</w:t>
      </w:r>
    </w:p>
    <w:p w14:paraId="012CCFAC">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合同总金额为人民币（大写）：              (￥          )</w:t>
      </w:r>
    </w:p>
    <w:p w14:paraId="416E6286">
      <w:pPr>
        <w:pStyle w:val="12"/>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此价格为合同执行不变价，不因国家政策变化而变化，该价款包括了服务价格及与之配套的设计、制造、正版软件、检验、包装、运输、保险、税费以及安装、组织验收、培训、技术服务（包括技术资料、图纸提供等）、质保期服务等全部价款，除此之外，甲方不再向乙方支付其他任何费用。</w:t>
      </w:r>
    </w:p>
    <w:p w14:paraId="6BF8DC31">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第三条  服务交付</w:t>
      </w:r>
    </w:p>
    <w:p w14:paraId="3583C33F">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1、服务期限：</w:t>
      </w:r>
    </w:p>
    <w:p w14:paraId="06284847">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2、交付地点：</w:t>
      </w:r>
    </w:p>
    <w:p w14:paraId="6A71A0CC">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第四条  交付验收</w:t>
      </w:r>
    </w:p>
    <w:p w14:paraId="20839F65">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1、甲方应当根据国家、行业验收标准，以及合同约定验收方案，明确验收时间、方式、程序和内容等事项，组成验收小组，在收到乙方项目验收建议之日起30个日历日内，对采购项目进行实质性验收（验收建议有明显不当的除外）。乙方应对提交的服务成果作出全面检查和整理，并列出清单，作为甲方验收和使用技术条件依据，清单应随提交的服务成果交给甲方。</w:t>
      </w:r>
    </w:p>
    <w:p w14:paraId="601C1FFA">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2、对大型或复杂的政府采购项目，甲方应当邀请国家认可的质量检测机构参与验收工作，并出具验收报告，相关费用负担由甲乙双方约定。</w:t>
      </w:r>
    </w:p>
    <w:p w14:paraId="519A8D89">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3、乙方在指定地点提交服务成果后，甲乙双方应依据招标文件、投标文件等文件材料的要求共同验收，并且出具书面验收报告。</w:t>
      </w:r>
    </w:p>
    <w:p w14:paraId="5A5B8193">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 xml:space="preserve">4.根据财政部等三部门《关于印发&lt;商品包装政府采购需求标准（试行）&gt;、&lt;快递包装政府采购需求标准（试行）&gt;的通知》规定,采购文件对商品包装和快递包装提出具体要求的，对乙方所提供包装的履约验收要求（必要时要求乙方在履约验收环节出具检测报告）：                        </w:t>
      </w:r>
    </w:p>
    <w:p w14:paraId="058ADC95">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第五条  所有权归属</w:t>
      </w:r>
    </w:p>
    <w:p w14:paraId="58ADACDF">
      <w:pPr>
        <w:pStyle w:val="12"/>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乙方将服务成果交付甲方，并且经甲乙双方共同验收合格后所有权转移给甲方，在所有权转移之前，标的物损毁、灭失的风险归乙方，乙方保证所交付的服务成果的所有权完全属于乙方且无任何抵押、查封等产权瑕疵。</w:t>
      </w:r>
    </w:p>
    <w:p w14:paraId="6F2A6C80">
      <w:pPr>
        <w:pStyle w:val="12"/>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如乙方交付的服务成果有产权瑕疵的，视为乙方违约，乙方须向甲方支付15%的违约金；如果合同总金额价款已经支付完毕或者开始支付合同价款时才发现产权有瑕疵的，乙方仍须支付上述违约金并且赔偿甲方由此所遭受的一切损失。</w:t>
      </w:r>
    </w:p>
    <w:p w14:paraId="2D9A277A">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第六条  包装、装运及运输</w:t>
      </w:r>
    </w:p>
    <w:p w14:paraId="7C33A665">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1、乙方负责包装、装运和运输，由于不适当的包装、装运和运输造成任何损坏均由乙方负责。</w:t>
      </w:r>
    </w:p>
    <w:p w14:paraId="048B5DD0">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2、包装费、运费及相关费用已包含在合同总金额内。</w:t>
      </w:r>
    </w:p>
    <w:p w14:paraId="2DA4EE31">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 xml:space="preserve">3.根据财政部等三部门《关于印发&lt;商品包装政府采购需求标准（试行）&gt;、&lt;快递包装政府采购需求标准（试行）&gt;的通知》规定，对乙方提出的具体包装要求：       </w:t>
      </w:r>
    </w:p>
    <w:p w14:paraId="02CE2F87">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第七条  款项支付</w:t>
      </w:r>
    </w:p>
    <w:p w14:paraId="6D174394">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1、结算单位：采购人结算，在付款前，必须开具全额发票给采购人。</w:t>
      </w:r>
    </w:p>
    <w:p w14:paraId="77675C96">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2、付款方式：（此处填写内容应与响应文件一致）</w:t>
      </w:r>
    </w:p>
    <w:p w14:paraId="14B78F53">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第八条  履约保证金</w:t>
      </w:r>
    </w:p>
    <w:p w14:paraId="32B2A3C3">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1、履约保证金用于补偿甲方因乙方不能履行或不能完全履行合同义务而蒙受的损失。</w:t>
      </w:r>
    </w:p>
    <w:p w14:paraId="6BD1722A">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2、乙方应当以支票、汇票、本票或者金融机构、担保机构出具的保函等非现金形式提交履约保证金，提交形式 :</w:t>
      </w:r>
      <w:r>
        <w:rPr>
          <w:rFonts w:hint="eastAsia" w:ascii="宋体" w:hAnsi="宋体" w:eastAsia="宋体" w:cs="宋体"/>
          <w:sz w:val="24"/>
          <w:szCs w:val="24"/>
          <w:u w:val="single"/>
          <w:lang w:val="en-US" w:eastAsia="zh-Hans"/>
        </w:rPr>
        <w:t xml:space="preserve">               </w:t>
      </w:r>
      <w:r>
        <w:rPr>
          <w:rFonts w:hint="eastAsia" w:ascii="宋体" w:hAnsi="宋体" w:eastAsia="宋体" w:cs="宋体"/>
          <w:sz w:val="24"/>
          <w:szCs w:val="24"/>
          <w:lang w:val="en-US" w:eastAsia="zh-Hans"/>
        </w:rPr>
        <w:t>，金额:</w:t>
      </w:r>
      <w:r>
        <w:rPr>
          <w:rFonts w:hint="eastAsia" w:ascii="宋体" w:hAnsi="宋体" w:eastAsia="宋体" w:cs="宋体"/>
          <w:sz w:val="24"/>
          <w:szCs w:val="24"/>
          <w:u w:val="single"/>
          <w:lang w:val="en-US" w:eastAsia="zh-Hans"/>
        </w:rPr>
        <w:t xml:space="preserve">人民币（大写）           </w:t>
      </w:r>
      <w:r>
        <w:rPr>
          <w:rFonts w:hint="eastAsia" w:ascii="宋体" w:hAnsi="宋体" w:eastAsia="宋体" w:cs="宋体"/>
          <w:sz w:val="24"/>
          <w:szCs w:val="24"/>
          <w:u w:val="single"/>
          <w:lang w:val="en-US" w:eastAsia="zh-Hans"/>
        </w:rPr>
        <w:tab/>
      </w:r>
      <w:r>
        <w:rPr>
          <w:rFonts w:hint="eastAsia" w:ascii="宋体" w:hAnsi="宋体" w:eastAsia="宋体" w:cs="宋体"/>
          <w:sz w:val="24"/>
          <w:szCs w:val="24"/>
          <w:u w:val="single"/>
          <w:lang w:val="en-US" w:eastAsia="zh-Hans"/>
        </w:rPr>
        <w:t>(￥        )元</w:t>
      </w:r>
      <w:r>
        <w:rPr>
          <w:rFonts w:hint="eastAsia" w:ascii="宋体" w:hAnsi="宋体" w:eastAsia="宋体" w:cs="宋体"/>
          <w:sz w:val="24"/>
          <w:szCs w:val="24"/>
          <w:lang w:val="en-US" w:eastAsia="zh-Hans"/>
        </w:rPr>
        <w:t>（履约保证金不得超过政府采购合同金额的5%）。</w:t>
      </w:r>
    </w:p>
    <w:p w14:paraId="22DB2E3C">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3、项目验收合格后，采购人根据乙方的响应程度及项目的实施情况，退还至成交供应商账户。</w:t>
      </w:r>
    </w:p>
    <w:p w14:paraId="0B1A3FF8">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第九条  售后服务及承诺</w:t>
      </w:r>
    </w:p>
    <w:p w14:paraId="72F4E2B2">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1、服务质量保证期限自提交服务验收合格之日起</w:t>
      </w:r>
      <w:r>
        <w:rPr>
          <w:rFonts w:hint="eastAsia" w:ascii="宋体" w:hAnsi="宋体" w:eastAsia="宋体" w:cs="宋体"/>
          <w:sz w:val="24"/>
          <w:szCs w:val="24"/>
          <w:u w:val="single"/>
          <w:lang w:val="en-US" w:eastAsia="zh-Hans"/>
        </w:rPr>
        <w:t xml:space="preserve">      </w:t>
      </w:r>
      <w:r>
        <w:rPr>
          <w:rFonts w:hint="eastAsia" w:ascii="宋体" w:hAnsi="宋体" w:eastAsia="宋体" w:cs="宋体"/>
          <w:sz w:val="24"/>
          <w:szCs w:val="24"/>
          <w:lang w:val="en-US" w:eastAsia="zh-Hans"/>
        </w:rPr>
        <w:t>年，在质量保证期内，乙方应对服务出现的问题负责处理并承担一切费用，并且赔偿甲方的损失。</w:t>
      </w:r>
    </w:p>
    <w:p w14:paraId="64FBFA7A">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2、乙方有完善的服务体系，有能力提供持续的、本地化售后服务。</w:t>
      </w:r>
    </w:p>
    <w:p w14:paraId="2F6BAB90">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3、乙方负责系统安装和调试以及操作人员培训，并制定详细的培训计划，使操作人员能独立进行管理、操作、维护和故障处理等工作， 做好相关记录及技术文档收集整理，待验收后移交。</w:t>
      </w:r>
    </w:p>
    <w:p w14:paraId="0D83A932">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4、服务范围：负责招标文件所涉及到的所有服务。</w:t>
      </w:r>
    </w:p>
    <w:p w14:paraId="35C38B8C">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第十条  知识产权</w:t>
      </w:r>
    </w:p>
    <w:p w14:paraId="4BAFACC3">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1、乙方保证，甲方在享受服务或者服务的任何一部分时，免受第三方提出的侵犯其专利权、商标权或其他知识产权的起诉。如发生此类纠纷，由乙方承担一切责任；如因此给甲方造成损失的，乙方负责全额赔偿。</w:t>
      </w:r>
    </w:p>
    <w:p w14:paraId="1D0ED4F6">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2、乙方为执行本合同而提供的技术资料或者其他相关资料、软件等由甲方永久免费使用。</w:t>
      </w:r>
    </w:p>
    <w:p w14:paraId="66485DFF">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第十一条  甲方责任</w:t>
      </w:r>
    </w:p>
    <w:p w14:paraId="263EEF65">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1、及时办理付款手续。</w:t>
      </w:r>
    </w:p>
    <w:p w14:paraId="33765F42">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2、负责提供工作场地，协助乙方办理有关事宜。</w:t>
      </w:r>
    </w:p>
    <w:p w14:paraId="5CF27EEE">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3、对合同条款及所知悉的乙方商业秘密负有保密义务。</w:t>
      </w:r>
    </w:p>
    <w:p w14:paraId="63A08871">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第十二条  乙方责任</w:t>
      </w:r>
    </w:p>
    <w:p w14:paraId="30725883">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1、保证所提供服务为投标文件承诺服务，符合相关法律法规规定并且满足甲方的需求，保证其配套项目部件为全新的未使用的且符合相关的质量要求。</w:t>
      </w:r>
    </w:p>
    <w:p w14:paraId="72922E3B">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2、保证所提供服务的售后服务，严格依据投标文件及相关承诺，对服务以及与之配套的项目进行保修、维护等服务。</w:t>
      </w:r>
    </w:p>
    <w:p w14:paraId="3A57E23B">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3、保证其所供服务不存在侵犯第三方知识产权的行为，否则由此产生的损失由乙方承担。</w:t>
      </w:r>
    </w:p>
    <w:p w14:paraId="0CE3226A">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第十三条  违约责任</w:t>
      </w:r>
    </w:p>
    <w:p w14:paraId="0D009845">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（一）按《中华人民共和国民法典》中的相关条款执行。</w:t>
      </w:r>
    </w:p>
    <w:p w14:paraId="3E7B26B0">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（二）未按合同要求的提供服务或服务质量不能满足采购人要求，甲方有权终止合同，甚至对供方违约行为进行追究。</w:t>
      </w:r>
    </w:p>
    <w:p w14:paraId="79257EA7">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（三）如有纠纷，双方友好协商解决，协商不成时可诉讼到甲方所在地人民法院解决。</w:t>
      </w:r>
    </w:p>
    <w:p w14:paraId="116356C5">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第十四条  保密</w:t>
      </w:r>
    </w:p>
    <w:p w14:paraId="1BF63EE2">
      <w:pPr>
        <w:pStyle w:val="12"/>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乙方在合同履行期间知悉甲方的工作秘密（包括相关业务信息），不得透露或以其他方式提供给合同双方以外的其他方（包括乙方内部与本合同无关的任何人员）， 乙方的保密责任不因本合同的终止而终止。</w:t>
      </w:r>
    </w:p>
    <w:p w14:paraId="2A5095B9">
      <w:pPr>
        <w:pStyle w:val="12"/>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乙方违反本合同所规定的保密义务，应按照本合同总金额的10%支付违约金。</w:t>
      </w:r>
    </w:p>
    <w:p w14:paraId="6D946C50">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第十五条  争议解决</w:t>
      </w:r>
    </w:p>
    <w:p w14:paraId="357002A2">
      <w:pPr>
        <w:pStyle w:val="12"/>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甲乙双方在合同履行中发生争议，应通过协商解决。如协商不成，可以向合同签订地法院提起诉讼。</w:t>
      </w:r>
    </w:p>
    <w:p w14:paraId="706BCB78">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第十六条  合同生效及其他</w:t>
      </w:r>
    </w:p>
    <w:p w14:paraId="755D7368">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1、除招标文件规定且甲方事先书面同意外，乙方不得部分或者全部转让、分包履行其应履行的合同项下的义务。</w:t>
      </w:r>
    </w:p>
    <w:p w14:paraId="309019D6">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2、合同由甲、乙双方法定代表人（或者被授权代表）签字并加盖单位公章。</w:t>
      </w:r>
    </w:p>
    <w:p w14:paraId="40E20E0B">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3、本合同一式   份，甲方   份，乙方   份。</w:t>
      </w:r>
    </w:p>
    <w:p w14:paraId="4ABE1C4F">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p>
    <w:p w14:paraId="6C1BAFFF">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甲    方：                             乙    方：</w:t>
      </w:r>
    </w:p>
    <w:p w14:paraId="1A762A97">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单位名称(公章)：                       单位名称(公章)：</w:t>
      </w:r>
    </w:p>
    <w:p w14:paraId="0F4778A3">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法定代表人（被授权代表）签字：         法定代表人（被授权代表）签字：</w:t>
      </w:r>
    </w:p>
    <w:p w14:paraId="264A7F02">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电    话：                             电    话：</w:t>
      </w:r>
    </w:p>
    <w:p w14:paraId="7CD6B506">
      <w:pPr>
        <w:pStyle w:val="12"/>
        <w:keepNext w:val="0"/>
        <w:keepLines w:val="0"/>
        <w:pageBreakBefore w:val="0"/>
        <w:widowControl/>
        <w:kinsoku/>
        <w:wordWrap/>
        <w:overflowPunct/>
        <w:topLinePunct w:val="0"/>
        <w:autoSpaceDE/>
        <w:autoSpaceDN/>
        <w:bidi w:val="0"/>
        <w:adjustRightInd/>
        <w:snapToGrid/>
        <w:spacing w:line="460" w:lineRule="exact"/>
        <w:textAlignment w:val="auto"/>
        <w:rPr>
          <w:rFonts w:hint="eastAsia"/>
          <w:lang w:val="en-US" w:eastAsia="zh-Hans"/>
        </w:rPr>
      </w:pPr>
      <w:r>
        <w:rPr>
          <w:rFonts w:hint="eastAsia" w:ascii="宋体" w:hAnsi="宋体" w:eastAsia="宋体" w:cs="宋体"/>
          <w:sz w:val="24"/>
          <w:szCs w:val="24"/>
          <w:lang w:val="en-US" w:eastAsia="zh-Hans"/>
        </w:rPr>
        <w:t>年   月   日                             年   月   日</w:t>
      </w:r>
    </w:p>
    <w:p w14:paraId="29A39A36"/>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00A70F">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028BE7">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04028BE7">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CD3B3C">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2ECD3B3C">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7730"/>
    <w:rsid w:val="009D3BAB"/>
    <w:rsid w:val="00A8560B"/>
    <w:rsid w:val="00C80D71"/>
    <w:rsid w:val="00DB0A2E"/>
    <w:rsid w:val="064E2489"/>
    <w:rsid w:val="59927305"/>
    <w:rsid w:val="6ADC6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99"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Note Heading"/>
    <w:basedOn w:val="1"/>
    <w:next w:val="1"/>
    <w:qFormat/>
    <w:uiPriority w:val="99"/>
    <w:pPr>
      <w:jc w:val="center"/>
    </w:pPr>
  </w:style>
  <w:style w:type="paragraph" w:styleId="5">
    <w:name w:val="Body Text"/>
    <w:basedOn w:val="1"/>
    <w:next w:val="1"/>
    <w:uiPriority w:val="0"/>
    <w:rPr>
      <w:color w:val="993300"/>
      <w:sz w:val="24"/>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1036</Words>
  <Characters>1036</Characters>
  <Lines>11</Lines>
  <Paragraphs>3</Paragraphs>
  <TotalTime>0</TotalTime>
  <ScaleCrop>false</ScaleCrop>
  <LinksUpToDate>false</LinksUpToDate>
  <CharactersWithSpaces>1287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2025-11-04T03:01:03Z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2B13D543E81B4760AF6D0E764E685C92_11</vt:lpwstr>
  </property>
  <property fmtid="{D5CDD505-2E9C-101B-9397-08002B2CF9AE}" pid="4" name="KSOTemplateDocerSaveRecord">
    <vt:lpwstr>eyJoZGlkIjoiOGFlZDBjMTkxMjAyY2VhMDJmNjJkYjY5NWY5ZGZmNGMiLCJ1c2VySWQiOiI0NTE5NDQwNTQifQ==</vt:lpwstr>
  </property>
</Properties>
</file>