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7FFE1">
      <w:pPr>
        <w:keepNext w:val="0"/>
        <w:keepLines w:val="0"/>
        <w:pageBreakBefore w:val="0"/>
        <w:overflowPunct/>
        <w:bidi w:val="0"/>
        <w:spacing w:line="360" w:lineRule="auto"/>
        <w:rPr>
          <w:rFonts w:hint="eastAsia"/>
          <w:color w:val="000000" w:themeColor="text1"/>
          <w:highlight w:val="none"/>
          <w:lang w:val="en-US" w:eastAsia="zh-Hans"/>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textWrapping"/>
      </w:r>
    </w:p>
    <w:p w14:paraId="6434748F">
      <w:pPr>
        <w:pStyle w:val="16"/>
        <w:keepNext w:val="0"/>
        <w:keepLines w:val="0"/>
        <w:pageBreakBefore w:val="0"/>
        <w:kinsoku/>
        <w:wordWrap/>
        <w:overflowPunct/>
        <w:topLinePunct w:val="0"/>
        <w:autoSpaceDE/>
        <w:autoSpaceDN/>
        <w:bidi w:val="0"/>
        <w:spacing w:line="360" w:lineRule="auto"/>
        <w:ind w:firstLine="420"/>
        <w:jc w:val="center"/>
        <w:rPr>
          <w:rFonts w:hint="eastAsia" w:ascii="宋体" w:hAnsi="宋体" w:eastAsia="宋体" w:cs="宋体"/>
          <w:b/>
          <w:bCs/>
          <w:color w:val="000000" w:themeColor="text1"/>
          <w:sz w:val="40"/>
          <w:szCs w:val="40"/>
          <w:highlight w:val="none"/>
          <w:lang w:val="en-US" w:eastAsia="zh-CN"/>
          <w14:textFill>
            <w14:solidFill>
              <w14:schemeClr w14:val="tx1"/>
            </w14:solidFill>
          </w14:textFill>
        </w:rPr>
      </w:pPr>
      <w:r>
        <w:rPr>
          <w:rFonts w:hint="eastAsia" w:ascii="宋体" w:hAnsi="宋体" w:eastAsia="宋体" w:cs="宋体"/>
          <w:b/>
          <w:bCs/>
          <w:color w:val="000000" w:themeColor="text1"/>
          <w:sz w:val="40"/>
          <w:szCs w:val="40"/>
          <w:highlight w:val="none"/>
          <w:lang w:val="en-US" w:eastAsia="zh-CN"/>
          <w14:textFill>
            <w14:solidFill>
              <w14:schemeClr w14:val="tx1"/>
            </w14:solidFill>
          </w14:textFill>
        </w:rPr>
        <w:t>政府采购合同格式</w:t>
      </w:r>
    </w:p>
    <w:p w14:paraId="465CBDF1">
      <w:pPr>
        <w:pStyle w:val="16"/>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合同编号： </w:t>
      </w:r>
    </w:p>
    <w:p w14:paraId="4F0DD4B3">
      <w:pPr>
        <w:pStyle w:val="16"/>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签订地点： </w:t>
      </w:r>
    </w:p>
    <w:p w14:paraId="21B94B64">
      <w:pPr>
        <w:pStyle w:val="16"/>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签订时间: </w:t>
      </w:r>
    </w:p>
    <w:p w14:paraId="5D7E33E8">
      <w:pPr>
        <w:pStyle w:val="16"/>
        <w:keepNext w:val="0"/>
        <w:keepLines w:val="0"/>
        <w:pageBreakBefore w:val="0"/>
        <w:kinsoku/>
        <w:wordWrap/>
        <w:overflowPunct/>
        <w:topLinePunct w:val="0"/>
        <w:autoSpaceDE/>
        <w:autoSpaceDN/>
        <w:bidi w:val="0"/>
        <w:spacing w:line="360" w:lineRule="auto"/>
        <w:ind w:firstLine="384" w:firstLineChars="183"/>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是否为专门面向中小企业的采购项目：</w:t>
      </w:r>
      <w:r>
        <w:rPr>
          <w:rFonts w:hint="eastAsia" w:ascii="宋体" w:hAnsi="宋体" w:cs="宋体"/>
          <w:color w:val="000000" w:themeColor="text1"/>
          <w:sz w:val="21"/>
          <w:szCs w:val="21"/>
          <w:highlight w:val="none"/>
          <w:lang w:val="en-US" w:eastAsia="zh-CN"/>
          <w14:textFill>
            <w14:solidFill>
              <w14:schemeClr w14:val="tx1"/>
            </w14:solidFill>
          </w14:textFill>
        </w:rPr>
        <w:t>否</w:t>
      </w:r>
      <w:bookmarkStart w:id="66" w:name="_GoBack"/>
      <w:bookmarkEnd w:id="66"/>
    </w:p>
    <w:p w14:paraId="59DC9FBE">
      <w:pPr>
        <w:pStyle w:val="16"/>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采购人</w:t>
      </w:r>
      <w:r>
        <w:rPr>
          <w:rFonts w:hint="eastAsia" w:ascii="宋体" w:hAnsi="宋体" w:eastAsia="宋体" w:cs="宋体"/>
          <w:color w:val="000000" w:themeColor="text1"/>
          <w:sz w:val="21"/>
          <w:szCs w:val="21"/>
          <w:highlight w:val="none"/>
          <w14:textFill>
            <w14:solidFill>
              <w14:schemeClr w14:val="tx1"/>
            </w14:solidFill>
          </w14:textFill>
        </w:rPr>
        <w:t>（甲方）：</w:t>
      </w:r>
    </w:p>
    <w:p w14:paraId="7DD27810">
      <w:pPr>
        <w:pStyle w:val="16"/>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投标人</w:t>
      </w:r>
      <w:r>
        <w:rPr>
          <w:rFonts w:hint="eastAsia" w:ascii="宋体" w:hAnsi="宋体" w:eastAsia="宋体" w:cs="宋体"/>
          <w:color w:val="000000" w:themeColor="text1"/>
          <w:sz w:val="21"/>
          <w:szCs w:val="21"/>
          <w:highlight w:val="none"/>
          <w14:textFill>
            <w14:solidFill>
              <w14:schemeClr w14:val="tx1"/>
            </w14:solidFill>
          </w14:textFill>
        </w:rPr>
        <w:t>（乙方）：</w:t>
      </w:r>
    </w:p>
    <w:p w14:paraId="675F2277">
      <w:pPr>
        <w:pStyle w:val="9"/>
        <w:keepNext w:val="0"/>
        <w:keepLines w:val="0"/>
        <w:pageBreakBefore w:val="0"/>
        <w:kinsoku/>
        <w:wordWrap/>
        <w:overflowPunct/>
        <w:topLinePunct w:val="0"/>
        <w:autoSpaceDE/>
        <w:autoSpaceDN/>
        <w:bidi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根据《中华人民共和国政府采购法》及实施条例、《中华人民共和国民法典》和</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陕西省司法厅陕西省行政执法和执法监督一体化平台项目(主体建设)</w:t>
      </w:r>
      <w:r>
        <w:rPr>
          <w:rFonts w:hint="eastAsia" w:ascii="宋体" w:hAnsi="宋体" w:eastAsia="宋体" w:cs="宋体"/>
          <w:color w:val="000000" w:themeColor="text1"/>
          <w:sz w:val="21"/>
          <w:szCs w:val="21"/>
          <w:highlight w:val="none"/>
          <w:u w:val="single"/>
          <w14:textFill>
            <w14:solidFill>
              <w14:schemeClr w14:val="tx1"/>
            </w14:solidFill>
          </w14:textFill>
        </w:rPr>
        <w:t>（采购项目编号</w:t>
      </w:r>
      <w:r>
        <w:rPr>
          <w:rFonts w:hint="eastAsia" w:ascii="宋体" w:hAnsi="宋体" w:eastAsia="宋体" w:cs="宋体"/>
          <w:color w:val="000000" w:themeColor="text1"/>
          <w:sz w:val="21"/>
          <w:szCs w:val="21"/>
          <w:highlight w:val="none"/>
          <w:u w:val="single"/>
          <w:lang w:eastAsia="zh-CN"/>
          <w14:textFill>
            <w14:solidFill>
              <w14:schemeClr w14:val="tx1"/>
            </w14:solidFill>
          </w14:textFill>
        </w:rPr>
        <w:t>SXLX25-02-112Z(F)</w:t>
      </w:r>
      <w:r>
        <w:rPr>
          <w:rFonts w:hint="eastAsia" w:ascii="宋体" w:hAnsi="宋体" w:eastAsia="宋体" w:cs="宋体"/>
          <w:color w:val="000000" w:themeColor="text1"/>
          <w:sz w:val="21"/>
          <w:szCs w:val="21"/>
          <w:highlight w:val="none"/>
          <w:u w:val="singl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的</w:t>
      </w:r>
      <w:r>
        <w:rPr>
          <w:rFonts w:hint="eastAsia" w:ascii="宋体" w:hAnsi="宋体" w:cs="宋体"/>
          <w:color w:val="000000" w:themeColor="text1"/>
          <w:sz w:val="21"/>
          <w:szCs w:val="21"/>
          <w:highlight w:val="none"/>
          <w:lang w:val="en-US" w:eastAsia="zh-CN"/>
          <w14:textFill>
            <w14:solidFill>
              <w14:schemeClr w14:val="tx1"/>
            </w14:solidFill>
          </w14:textFill>
        </w:rPr>
        <w:t>招标</w:t>
      </w:r>
      <w:r>
        <w:rPr>
          <w:rFonts w:hint="eastAsia" w:ascii="宋体" w:hAnsi="宋体" w:eastAsia="宋体" w:cs="宋体"/>
          <w:color w:val="000000" w:themeColor="text1"/>
          <w:sz w:val="21"/>
          <w:szCs w:val="21"/>
          <w:highlight w:val="none"/>
          <w14:textFill>
            <w14:solidFill>
              <w14:schemeClr w14:val="tx1"/>
            </w14:solidFill>
          </w14:textFill>
        </w:rPr>
        <w:t>文件、</w:t>
      </w:r>
      <w:r>
        <w:rPr>
          <w:rFonts w:hint="eastAsia" w:ascii="宋体" w:hAnsi="宋体" w:cs="宋体"/>
          <w:color w:val="000000" w:themeColor="text1"/>
          <w:sz w:val="21"/>
          <w:szCs w:val="21"/>
          <w:highlight w:val="none"/>
          <w:lang w:val="en-US" w:eastAsia="zh-CN"/>
          <w14:textFill>
            <w14:solidFill>
              <w14:schemeClr w14:val="tx1"/>
            </w14:solidFill>
          </w14:textFill>
        </w:rPr>
        <w:t>投标</w:t>
      </w:r>
      <w:r>
        <w:rPr>
          <w:rFonts w:hint="eastAsia" w:ascii="宋体" w:hAnsi="宋体" w:eastAsia="宋体" w:cs="宋体"/>
          <w:color w:val="000000" w:themeColor="text1"/>
          <w:sz w:val="21"/>
          <w:szCs w:val="21"/>
          <w:highlight w:val="none"/>
          <w14:textFill>
            <w14:solidFill>
              <w14:schemeClr w14:val="tx1"/>
            </w14:solidFill>
          </w14:textFill>
        </w:rPr>
        <w:t>文件等有关规定，为确保甲方采购项目的顺利实施，甲、乙双方在平等自愿原则下签订本合同，并共同遵守如下条款，其主要要求如下：</w:t>
      </w:r>
    </w:p>
    <w:p w14:paraId="42C011A9">
      <w:pPr>
        <w:keepNext w:val="0"/>
        <w:keepLines w:val="0"/>
        <w:pageBreakBefore w:val="0"/>
        <w:widowControl/>
        <w:numPr>
          <w:ilvl w:val="0"/>
          <w:numId w:val="2"/>
        </w:numPr>
        <w:kinsoku/>
        <w:wordWrap/>
        <w:overflowPunct/>
        <w:topLinePunct w:val="0"/>
        <w:autoSpaceDE/>
        <w:autoSpaceDN/>
        <w:bidi w:val="0"/>
        <w:spacing w:line="360" w:lineRule="auto"/>
        <w:ind w:firstLine="422" w:firstLineChars="200"/>
        <w:jc w:val="left"/>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0" w:name="_Toc11438"/>
      <w:r>
        <w:rPr>
          <w:rFonts w:hint="eastAsia" w:ascii="宋体" w:hAnsi="宋体" w:eastAsia="宋体" w:cs="宋体"/>
          <w:b/>
          <w:color w:val="000000" w:themeColor="text1"/>
          <w:sz w:val="21"/>
          <w:szCs w:val="21"/>
          <w:highlight w:val="none"/>
          <w14:textFill>
            <w14:solidFill>
              <w14:schemeClr w14:val="tx1"/>
            </w14:solidFill>
          </w14:textFill>
        </w:rPr>
        <w:t xml:space="preserve"> 项目基本情况</w:t>
      </w:r>
      <w:bookmarkEnd w:id="0"/>
    </w:p>
    <w:p w14:paraId="4BF1AF94">
      <w:pPr>
        <w:keepNext w:val="0"/>
        <w:keepLines w:val="0"/>
        <w:pageBreakBefore w:val="0"/>
        <w:overflowPunct/>
        <w:bidi w:val="0"/>
        <w:adjustRightInd w:val="0"/>
        <w:snapToGrid w:val="0"/>
        <w:spacing w:line="360" w:lineRule="auto"/>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本项目为陕西省司法厅陕西省行政执法和执法监督一体化平台项目(主体建设)，本项目内容包括但不限于行政执法和执法监督一体化工作台和五个子系统建设、六个业务系统改造涉及的需求调研、需求分析、概要设计、详细设计、软件编码、安装部署、调试测试、对接联调，数据资源库、智能模型应用等数据资源建设，规范体系建设，以及项目试运行、项目验收、技术文档、技术培训及12个月质保运维等服务。</w:t>
      </w:r>
    </w:p>
    <w:p w14:paraId="1C7BD679">
      <w:pPr>
        <w:keepNext w:val="0"/>
        <w:keepLines w:val="0"/>
        <w:pageBreakBefore w:val="0"/>
        <w:widowControl/>
        <w:numPr>
          <w:ilvl w:val="0"/>
          <w:numId w:val="3"/>
        </w:numPr>
        <w:kinsoku/>
        <w:wordWrap/>
        <w:overflowPunct/>
        <w:topLinePunct w:val="0"/>
        <w:autoSpaceDE/>
        <w:autoSpaceDN/>
        <w:bidi w:val="0"/>
        <w:spacing w:line="360" w:lineRule="auto"/>
        <w:ind w:firstLine="422" w:firstLineChars="200"/>
        <w:jc w:val="left"/>
        <w:outlineLvl w:val="1"/>
        <w:rPr>
          <w:rFonts w:hint="default" w:ascii="宋体" w:hAnsi="宋体" w:eastAsia="宋体" w:cs="宋体"/>
          <w:b/>
          <w:color w:val="000000" w:themeColor="text1"/>
          <w:sz w:val="21"/>
          <w:szCs w:val="21"/>
          <w:highlight w:val="none"/>
          <w:lang w:val="en-US"/>
          <w14:textFill>
            <w14:solidFill>
              <w14:schemeClr w14:val="tx1"/>
            </w14:solidFill>
          </w14:textFill>
        </w:rPr>
      </w:pPr>
      <w:bookmarkStart w:id="1" w:name="_Toc24394"/>
      <w:r>
        <w:rPr>
          <w:rFonts w:hint="eastAsia" w:ascii="宋体" w:hAnsi="宋体" w:eastAsia="宋体" w:cs="宋体"/>
          <w:b/>
          <w:color w:val="000000" w:themeColor="text1"/>
          <w:sz w:val="21"/>
          <w:szCs w:val="21"/>
          <w:highlight w:val="none"/>
          <w14:textFill>
            <w14:solidFill>
              <w14:schemeClr w14:val="tx1"/>
            </w14:solidFill>
          </w14:textFill>
        </w:rPr>
        <w:t xml:space="preserve"> 服务</w:t>
      </w:r>
      <w:bookmarkEnd w:id="1"/>
      <w:r>
        <w:rPr>
          <w:rFonts w:hint="eastAsia" w:ascii="宋体" w:hAnsi="宋体" w:eastAsia="宋体" w:cs="宋体"/>
          <w:b/>
          <w:color w:val="000000" w:themeColor="text1"/>
          <w:sz w:val="21"/>
          <w:szCs w:val="21"/>
          <w:highlight w:val="none"/>
          <w:lang w:val="en-US" w:eastAsia="zh-CN"/>
          <w14:textFill>
            <w14:solidFill>
              <w14:schemeClr w14:val="tx1"/>
            </w14:solidFill>
          </w14:textFill>
        </w:rPr>
        <w:t>周期</w:t>
      </w:r>
    </w:p>
    <w:p w14:paraId="34811FDA">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bookmarkStart w:id="2" w:name="_Toc2407"/>
      <w:bookmarkStart w:id="3" w:name="_Toc241833903"/>
      <w:bookmarkStart w:id="4" w:name="_Toc225654644"/>
      <w:bookmarkStart w:id="5" w:name="_Toc238984975"/>
      <w:bookmarkStart w:id="6" w:name="_Toc239568418"/>
      <w:bookmarkStart w:id="7" w:name="_Toc283019214"/>
      <w:bookmarkStart w:id="8" w:name="_Toc232492928"/>
      <w:bookmarkStart w:id="9" w:name="_Toc225244852"/>
      <w:bookmarkStart w:id="10" w:name="_Toc286993786"/>
      <w:bookmarkStart w:id="11" w:name="_Toc211911348"/>
      <w:bookmarkStart w:id="12" w:name="_Toc251768862"/>
      <w:bookmarkStart w:id="13" w:name="_Toc239233914"/>
      <w:bookmarkStart w:id="14" w:name="_Toc225670751"/>
      <w:bookmarkStart w:id="15" w:name="_Toc282696226"/>
      <w:bookmarkStart w:id="16" w:name="_Toc237145406"/>
      <w:bookmarkStart w:id="17" w:name="_Toc247334841"/>
      <w:bookmarkStart w:id="18" w:name="_Toc185395249"/>
      <w:bookmarkStart w:id="19" w:name="_Toc211854449"/>
      <w:bookmarkStart w:id="20" w:name="_Toc212019594"/>
      <w:r>
        <w:rPr>
          <w:rFonts w:hint="eastAsia" w:ascii="宋体" w:hAnsi="宋体" w:eastAsia="宋体" w:cs="宋体"/>
          <w:color w:val="000000" w:themeColor="text1"/>
          <w:sz w:val="21"/>
          <w:szCs w:val="21"/>
          <w:highlight w:val="none"/>
          <w:lang w:val="en-US" w:eastAsia="zh-CN"/>
          <w14:textFill>
            <w14:solidFill>
              <w14:schemeClr w14:val="tx1"/>
            </w14:solidFill>
          </w14:textFill>
        </w:rPr>
        <w:t>1.建设期限：</w:t>
      </w:r>
      <w:r>
        <w:rPr>
          <w:rFonts w:hint="eastAsia" w:ascii="宋体" w:hAnsi="宋体" w:eastAsia="宋体" w:cs="宋体"/>
          <w:color w:val="000000" w:themeColor="text1"/>
          <w:sz w:val="21"/>
          <w:szCs w:val="21"/>
          <w:highlight w:val="none"/>
          <w:lang w:val="zh-CN" w:eastAsia="zh-CN"/>
          <w14:textFill>
            <w14:solidFill>
              <w14:schemeClr w14:val="tx1"/>
            </w14:solidFill>
          </w14:textFill>
        </w:rPr>
        <w:t>自合同签订之日起10个月内完成项目终验。</w:t>
      </w:r>
    </w:p>
    <w:p w14:paraId="7C30C985">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0"/>
          <w:szCs w:val="20"/>
          <w:highlight w:val="none"/>
          <w:lang w:val="zh-CN"/>
          <w14:textFill>
            <w14:solidFill>
              <w14:schemeClr w14:val="tx1"/>
            </w14:solidFill>
          </w14:textFill>
        </w:rPr>
        <w:t>质保期</w:t>
      </w:r>
      <w:r>
        <w:rPr>
          <w:rFonts w:hint="eastAsia" w:ascii="宋体" w:hAnsi="宋体" w:eastAsia="宋体" w:cs="宋体"/>
          <w:color w:val="000000" w:themeColor="text1"/>
          <w:sz w:val="20"/>
          <w:szCs w:val="20"/>
          <w:highlight w:val="none"/>
          <w:lang w:val="en-US" w:eastAsia="zh-CN"/>
          <w14:textFill>
            <w14:solidFill>
              <w14:schemeClr w14:val="tx1"/>
            </w14:solidFill>
          </w14:textFill>
        </w:rPr>
        <w:t>及运维时间</w:t>
      </w:r>
      <w:r>
        <w:rPr>
          <w:rFonts w:hint="eastAsia" w:ascii="宋体" w:hAnsi="宋体" w:eastAsia="宋体" w:cs="宋体"/>
          <w:color w:val="000000" w:themeColor="text1"/>
          <w:sz w:val="20"/>
          <w:szCs w:val="20"/>
          <w:highlight w:val="none"/>
          <w:lang w:val="zh-CN"/>
          <w14:textFill>
            <w14:solidFill>
              <w14:schemeClr w14:val="tx1"/>
            </w14:solidFill>
          </w14:textFill>
        </w:rPr>
        <w:t>：项目竣工验收合格后1年。</w:t>
      </w:r>
    </w:p>
    <w:p w14:paraId="6040CD02">
      <w:pPr>
        <w:keepNext w:val="0"/>
        <w:keepLines w:val="0"/>
        <w:pageBreakBefore w:val="0"/>
        <w:widowControl/>
        <w:tabs>
          <w:tab w:val="left" w:pos="387"/>
        </w:tabs>
        <w:kinsoku/>
        <w:wordWrap/>
        <w:overflowPunct/>
        <w:topLinePunct w:val="0"/>
        <w:autoSpaceDE/>
        <w:autoSpaceDN/>
        <w:bidi w:val="0"/>
        <w:spacing w:line="360" w:lineRule="auto"/>
        <w:ind w:firstLine="422" w:firstLineChars="200"/>
        <w:jc w:val="left"/>
        <w:outlineLvl w:val="1"/>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第三条  服务内容与质量标准</w:t>
      </w:r>
      <w:bookmarkEnd w:id="2"/>
    </w:p>
    <w:p w14:paraId="79D4707E">
      <w:pPr>
        <w:keepNext w:val="0"/>
        <w:keepLines w:val="0"/>
        <w:pageBreakBefore w:val="0"/>
        <w:overflowPunct/>
        <w:bidi w:val="0"/>
        <w:adjustRightInd w:val="0"/>
        <w:snapToGrid w:val="0"/>
        <w:spacing w:line="360" w:lineRule="auto"/>
        <w:ind w:firstLine="422" w:firstLineChars="200"/>
        <w:rPr>
          <w:rFonts w:hint="default" w:ascii="宋体" w:hAnsi="宋体" w:eastAsia="宋体" w:cs="宋体"/>
          <w:b/>
          <w:bCs/>
          <w:color w:val="000000" w:themeColor="text1"/>
          <w:sz w:val="21"/>
          <w:szCs w:val="21"/>
          <w:highlight w:val="none"/>
          <w:lang w:val="en-US" w:eastAsia="zh-CN"/>
          <w14:textFill>
            <w14:solidFill>
              <w14:schemeClr w14:val="tx1"/>
            </w14:solidFill>
          </w14:textFill>
        </w:rPr>
      </w:pPr>
      <w:bookmarkStart w:id="21" w:name="_Toc20078"/>
      <w:r>
        <w:rPr>
          <w:rFonts w:hint="eastAsia" w:ascii="宋体" w:hAnsi="宋体" w:eastAsia="宋体" w:cs="宋体"/>
          <w:b/>
          <w:bCs/>
          <w:color w:val="000000" w:themeColor="text1"/>
          <w:sz w:val="21"/>
          <w:szCs w:val="21"/>
          <w:highlight w:val="none"/>
          <w:lang w:val="en-US" w:eastAsia="zh-CN"/>
          <w14:textFill>
            <w14:solidFill>
              <w14:schemeClr w14:val="tx1"/>
            </w14:solidFill>
          </w14:textFill>
        </w:rPr>
        <w:t>1、建设内容</w:t>
      </w:r>
    </w:p>
    <w:p w14:paraId="64A40BAE">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本项目建设内容包括定制一体化平台开发（包括定制软件开发、数据资源建设、规范体系建设三部分）、应用系统改造（现有执法系统改造对接、部建系统迁移对接）等2类5大项建设内容，主要包括，但不限于：</w:t>
      </w:r>
    </w:p>
    <w:p w14:paraId="59DD06C7">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1.定制软件开发</w:t>
      </w:r>
      <w:r>
        <w:rPr>
          <w:rFonts w:hint="eastAsia" w:ascii="宋体" w:hAnsi="宋体" w:eastAsia="宋体" w:cs="宋体"/>
          <w:color w:val="000000" w:themeColor="text1"/>
          <w:sz w:val="21"/>
          <w:szCs w:val="21"/>
          <w:highlight w:val="none"/>
          <w:lang w:val="zh-CN" w:eastAsia="zh-CN"/>
          <w14:textFill>
            <w14:solidFill>
              <w14:schemeClr w14:val="tx1"/>
            </w14:solidFill>
          </w14:textFill>
        </w:rPr>
        <w:tab/>
      </w:r>
    </w:p>
    <w:p w14:paraId="115E85BA">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新建行政执法和执法监督一体化工作台，是全省综合行政执法监督的工作门户，为省市县乡四级行政执法和执法监督工作人员提供业务办理、消息提醒、信息共享及决策支持等功能。</w:t>
      </w:r>
    </w:p>
    <w:p w14:paraId="3DB00595">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建设行政执法子系统、行政执法监督子系统和文件审查管理子系统。一是行政执法子系统（升级），面向全省44个行政执法领域提供通用流程+定制流程+数据对接等三种业务承载能力。二是行政执法监督子系统（升级），提供研判预警、案卷评查、评议考核等监督功能，投诉举报闭环处置、行政执法信息公开、执法监督协同应用等全链条管理场景。三是文件审查管理子系统（新建），提供行政规范性文件合法性审核、备案审查、文件清理及相应的智能审查辅助功能。</w:t>
      </w:r>
    </w:p>
    <w:p w14:paraId="4C13661E">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新建要素管理子系统，提供执法要素信息管理、裁量基准管理、流程配置管理、监督要素管理、文书配置管理等功能，同时支持用户管理、权限管理及日志管理，为全省执法工作提供标准化基础支撑。</w:t>
      </w:r>
    </w:p>
    <w:p w14:paraId="334CAE22">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建设行政执法和执法监督数据分析监测子系统（升级），提供执法数据的效能分析、预警研判和可视化展示等功能。</w:t>
      </w:r>
    </w:p>
    <w:p w14:paraId="72F38D3A">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2.应用系统改造</w:t>
      </w:r>
      <w:r>
        <w:rPr>
          <w:rFonts w:hint="eastAsia" w:ascii="宋体" w:hAnsi="宋体" w:eastAsia="宋体" w:cs="宋体"/>
          <w:color w:val="000000" w:themeColor="text1"/>
          <w:sz w:val="21"/>
          <w:szCs w:val="21"/>
          <w:highlight w:val="none"/>
          <w:lang w:val="zh-CN" w:eastAsia="zh-CN"/>
          <w14:textFill>
            <w14:solidFill>
              <w14:schemeClr w14:val="tx1"/>
            </w14:solidFill>
          </w14:textFill>
        </w:rPr>
        <w:tab/>
      </w:r>
    </w:p>
    <w:p w14:paraId="2728C4F0">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6个现有执法系统改造：对于经评估确须保留的6个省建执法信息系统（公安、生态、交通、卫健、药监、市场监管），按照一体化平台的业务规范、数据规范、接入规范等，完成系统功能改造，并实现与一体化平台对接。改造内容包括但不限于强约束类功能（用户认证、执法要素、案源线索、检查计划、检查任务、执法协同、统一电子印章、统一公共支付等8类），基础约束类功能（检查实施、行政处罚、行政强制等3类）等。</w:t>
      </w:r>
    </w:p>
    <w:p w14:paraId="3D023629">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3.数据资源建设</w:t>
      </w:r>
    </w:p>
    <w:p w14:paraId="00DB7557">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本项目数据资源建设内容包括数据资源库、智能模型两类。</w:t>
      </w:r>
    </w:p>
    <w:p w14:paraId="31073301">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一是数据资源库建设。构建6类基础库、5类主题库、4类专题库。</w:t>
      </w:r>
    </w:p>
    <w:p w14:paraId="757E02EE">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二是智能模型应用。开发智能应用场景，支撑业务高效办理。构建高质量数据集，为陕西省行政执法和执法监督一体化提供精准决策支撑。</w:t>
      </w:r>
    </w:p>
    <w:p w14:paraId="54C626E3">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4.规范体系建设</w:t>
      </w:r>
    </w:p>
    <w:p w14:paraId="2EFA6554">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项目建设期间，为确保平台标准化建设、规范化运行，需要依据国家标准，结合我省实际，编制4类标准规范，包含行政执法业务标准、行政执法监督数据标准、行政执法监督分析指标体系、一体化平台对接规范。</w:t>
      </w:r>
    </w:p>
    <w:p w14:paraId="1D457095">
      <w:pPr>
        <w:keepNext w:val="0"/>
        <w:keepLines w:val="0"/>
        <w:pageBreakBefore w:val="0"/>
        <w:overflowPunct/>
        <w:bidi w:val="0"/>
        <w:adjustRightInd w:val="0"/>
        <w:snapToGrid w:val="0"/>
        <w:spacing w:line="360" w:lineRule="auto"/>
        <w:ind w:firstLine="422" w:firstLineChars="200"/>
        <w:rPr>
          <w:rFonts w:hint="eastAsia" w:ascii="宋体" w:hAnsi="宋体" w:eastAsia="宋体" w:cs="宋体"/>
          <w:b/>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2.成果提交</w:t>
      </w:r>
    </w:p>
    <w:p w14:paraId="6631ED91">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中标人应提交的技术成果包括但不限于：</w:t>
      </w:r>
    </w:p>
    <w:p w14:paraId="65B23013">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1.与《项目实施方案》、采购需求及后续经评审通过的设计文档相匹配的应用软件系统。</w:t>
      </w:r>
    </w:p>
    <w:p w14:paraId="317E2393">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2.设计文档：《软件需求规格说明书》《软件测试计划》《软件概要设计</w:t>
      </w:r>
      <w:r>
        <w:rPr>
          <w:rFonts w:hint="eastAsia" w:ascii="宋体" w:hAnsi="宋体" w:eastAsia="宋体" w:cs="宋体"/>
          <w:color w:val="000000" w:themeColor="text1"/>
          <w:sz w:val="21"/>
          <w:szCs w:val="21"/>
          <w:highlight w:val="none"/>
          <w:lang w:val="en-US" w:eastAsia="zh-CN"/>
          <w14:textFill>
            <w14:solidFill>
              <w14:schemeClr w14:val="tx1"/>
            </w14:solidFill>
          </w14:textFill>
        </w:rPr>
        <w:t>说明书》《</w:t>
      </w:r>
      <w:r>
        <w:rPr>
          <w:rFonts w:hint="eastAsia" w:ascii="宋体" w:hAnsi="宋体" w:eastAsia="宋体" w:cs="宋体"/>
          <w:color w:val="000000" w:themeColor="text1"/>
          <w:sz w:val="21"/>
          <w:szCs w:val="21"/>
          <w:highlight w:val="none"/>
          <w:lang w:val="zh-CN" w:eastAsia="zh-CN"/>
          <w14:textFill>
            <w14:solidFill>
              <w14:schemeClr w14:val="tx1"/>
            </w14:solidFill>
          </w14:textFill>
        </w:rPr>
        <w:t>软件详细设计</w:t>
      </w:r>
      <w:r>
        <w:rPr>
          <w:rFonts w:hint="eastAsia" w:ascii="宋体" w:hAnsi="宋体" w:eastAsia="宋体" w:cs="宋体"/>
          <w:color w:val="000000" w:themeColor="text1"/>
          <w:sz w:val="21"/>
          <w:szCs w:val="21"/>
          <w:highlight w:val="none"/>
          <w:lang w:val="en-US" w:eastAsia="zh-CN"/>
          <w14:textFill>
            <w14:solidFill>
              <w14:schemeClr w14:val="tx1"/>
            </w14:solidFill>
          </w14:textFill>
        </w:rPr>
        <w:t>说明书</w:t>
      </w:r>
      <w:r>
        <w:rPr>
          <w:rFonts w:hint="eastAsia" w:ascii="宋体" w:hAnsi="宋体" w:eastAsia="宋体" w:cs="宋体"/>
          <w:color w:val="000000" w:themeColor="text1"/>
          <w:sz w:val="21"/>
          <w:szCs w:val="21"/>
          <w:highlight w:val="none"/>
          <w:lang w:val="zh-CN" w:eastAsia="zh-CN"/>
          <w14:textFill>
            <w14:solidFill>
              <w14:schemeClr w14:val="tx1"/>
            </w14:solidFill>
          </w14:textFill>
        </w:rPr>
        <w:t>》等。</w:t>
      </w:r>
    </w:p>
    <w:p w14:paraId="0C39156A">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3.实现文档：《系统测试报告》《数据资源建设及数据治理情况报告》《试运行报告》《验收报告》等。</w:t>
      </w:r>
    </w:p>
    <w:p w14:paraId="17AA659E">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4.维护文档：《用户操作手册》《软件安装部署手册》《项目总结报告》等。</w:t>
      </w:r>
    </w:p>
    <w:p w14:paraId="1DEF78BF">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5.管理文档：《用户培训计划》《项目实施计划》等。</w:t>
      </w:r>
    </w:p>
    <w:p w14:paraId="5458A18C">
      <w:pPr>
        <w:keepNext w:val="0"/>
        <w:keepLines w:val="0"/>
        <w:pageBreakBefore w:val="0"/>
        <w:overflowPunct/>
        <w:bidi w:val="0"/>
        <w:adjustRightInd w:val="0"/>
        <w:snapToGrid w:val="0"/>
        <w:spacing w:line="360" w:lineRule="auto"/>
        <w:ind w:firstLine="420" w:firstLineChars="200"/>
        <w:rPr>
          <w:rFonts w:hint="eastAsia" w:ascii="宋体" w:hAnsi="宋体" w:eastAsia="宋体" w:cs="宋体"/>
          <w:color w:val="000000" w:themeColor="text1"/>
          <w:sz w:val="21"/>
          <w:szCs w:val="21"/>
          <w:highlight w:val="none"/>
          <w:lang w:val="zh-CN" w:eastAsia="zh-CN"/>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6.代码类：源代码、安装程序、配置文件等代码类电子材料，刻盘交付。</w:t>
      </w:r>
    </w:p>
    <w:p w14:paraId="21FB88A4">
      <w:pPr>
        <w:keepNext w:val="0"/>
        <w:keepLines w:val="0"/>
        <w:pageBreakBefore w:val="0"/>
        <w:overflowPunct/>
        <w:bidi w:val="0"/>
        <w:adjustRightInd w:val="0"/>
        <w:snapToGrid w:val="0"/>
        <w:spacing w:line="360" w:lineRule="auto"/>
        <w:ind w:firstLine="420" w:firstLineChars="200"/>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zh-CN" w:eastAsia="zh-CN"/>
          <w14:textFill>
            <w14:solidFill>
              <w14:schemeClr w14:val="tx1"/>
            </w14:solidFill>
          </w14:textFill>
        </w:rPr>
        <w:t>7.《行政执法业务标准》《行政执法监督数据标准》《行政执法监督分析指标体系》《一体化平台对接规范》等标准规范。</w:t>
      </w:r>
    </w:p>
    <w:p w14:paraId="53736E7C">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outlineLvl w:val="1"/>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第四条  服务费用及支付方式</w:t>
      </w:r>
      <w:bookmarkEnd w:id="21"/>
    </w:p>
    <w:p w14:paraId="628D084D">
      <w:pPr>
        <w:pStyle w:val="14"/>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1.服务费按下列比例支付价款：</w:t>
      </w:r>
    </w:p>
    <w:p w14:paraId="29CD71C4">
      <w:pPr>
        <w:pStyle w:val="14"/>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（1）服务总费用为人民币（大写）：</w:t>
      </w:r>
      <w:r>
        <w:rPr>
          <w:rFonts w:hint="eastAsia" w:ascii="宋体" w:hAnsi="宋体" w:eastAsia="宋体" w:cs="宋体"/>
          <w:b w:val="0"/>
          <w:bCs w:val="0"/>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元，￥</w:t>
      </w:r>
      <w:r>
        <w:rPr>
          <w:rFonts w:hint="eastAsia" w:ascii="宋体" w:hAnsi="宋体" w:eastAsia="宋体" w:cs="宋体"/>
          <w:b w:val="0"/>
          <w:bCs w:val="0"/>
          <w:color w:val="000000" w:themeColor="text1"/>
          <w:kern w:val="0"/>
          <w:sz w:val="21"/>
          <w:szCs w:val="21"/>
          <w:highlight w:val="none"/>
          <w:u w:val="single"/>
          <w:lang w:val="en-US" w:eastAsia="zh-CN" w:bidi="ar-SA"/>
          <w14:textFill>
            <w14:solidFill>
              <w14:schemeClr w14:val="tx1"/>
            </w14:solidFill>
          </w14:textFill>
        </w:rPr>
        <w:t xml:space="preserve">          </w:t>
      </w: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w:t>
      </w:r>
    </w:p>
    <w:p w14:paraId="5E8F1733">
      <w:pPr>
        <w:pStyle w:val="14"/>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（2）支付方式：</w:t>
      </w:r>
      <w:r>
        <w:rPr>
          <w:rFonts w:hint="eastAsia" w:ascii="宋体" w:hAnsi="宋体" w:eastAsia="宋体" w:cs="宋体"/>
          <w:b w:val="0"/>
          <w:bCs w:val="0"/>
          <w:color w:val="000000" w:themeColor="text1"/>
          <w:kern w:val="0"/>
          <w:sz w:val="21"/>
          <w:szCs w:val="21"/>
          <w:highlight w:val="none"/>
          <w:lang w:val="zh-CN" w:eastAsia="zh-CN" w:bidi="ar-SA"/>
          <w14:textFill>
            <w14:solidFill>
              <w14:schemeClr w14:val="tx1"/>
            </w14:solidFill>
          </w14:textFill>
        </w:rPr>
        <w:t>合同签订后，达到付款条件起15日内，支付合同总金额的40.00%；项目初验通过后，达到付款条件起15日内，支付合同总金额的20.00%；项目竣工验收通过，达到付款条件起15日内，支付合同总金额的40.00%。</w:t>
      </w: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第二次付款前，中标人须向采购人出具正规全额税务发票。</w:t>
      </w:r>
    </w:p>
    <w:p w14:paraId="093F3149">
      <w:pPr>
        <w:pStyle w:val="14"/>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2.结算方式：银行转账</w:t>
      </w:r>
    </w:p>
    <w:p w14:paraId="453E0AE8">
      <w:pPr>
        <w:pStyle w:val="14"/>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val="0"/>
          <w:bCs w:val="0"/>
          <w:color w:val="000000" w:themeColor="text1"/>
          <w:kern w:val="0"/>
          <w:sz w:val="21"/>
          <w:szCs w:val="21"/>
          <w:highlight w:val="none"/>
          <w:lang w:val="zh-CN" w:eastAsia="zh-CN" w:bidi="ar-SA"/>
          <w14:textFill>
            <w14:solidFill>
              <w14:schemeClr w14:val="tx1"/>
            </w14:solidFill>
          </w14:textFill>
        </w:rPr>
        <w:t>3.合同价款</w:t>
      </w: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说明</w:t>
      </w:r>
    </w:p>
    <w:p w14:paraId="03DC28D4">
      <w:pPr>
        <w:pStyle w:val="14"/>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000000" w:themeColor="text1"/>
          <w:kern w:val="0"/>
          <w:sz w:val="21"/>
          <w:szCs w:val="21"/>
          <w:highlight w:val="none"/>
          <w:lang w:val="zh-CN" w:eastAsia="zh-CN" w:bidi="ar-SA"/>
          <w14:textFill>
            <w14:solidFill>
              <w14:schemeClr w14:val="tx1"/>
            </w14:solidFill>
          </w14:textFill>
        </w:rPr>
      </w:pPr>
      <w:r>
        <w:rPr>
          <w:rFonts w:hint="eastAsia" w:ascii="宋体" w:hAnsi="宋体" w:eastAsia="宋体" w:cs="宋体"/>
          <w:b w:val="0"/>
          <w:bCs w:val="0"/>
          <w:color w:val="000000" w:themeColor="text1"/>
          <w:kern w:val="0"/>
          <w:sz w:val="21"/>
          <w:szCs w:val="21"/>
          <w:highlight w:val="none"/>
          <w:lang w:val="zh-CN" w:eastAsia="zh-CN" w:bidi="ar-SA"/>
          <w14:textFill>
            <w14:solidFill>
              <w14:schemeClr w14:val="tx1"/>
            </w14:solidFill>
          </w14:textFill>
        </w:rPr>
        <w:t>（1）合同总价包含</w:t>
      </w: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行政执法和执法监督一体化工作台及五个子系统</w:t>
      </w:r>
      <w:r>
        <w:rPr>
          <w:rFonts w:hint="eastAsia" w:ascii="宋体" w:hAnsi="宋体" w:eastAsia="宋体" w:cs="宋体"/>
          <w:b w:val="0"/>
          <w:bCs w:val="0"/>
          <w:color w:val="000000" w:themeColor="text1"/>
          <w:kern w:val="0"/>
          <w:sz w:val="21"/>
          <w:szCs w:val="21"/>
          <w:highlight w:val="none"/>
          <w:lang w:val="zh-CN" w:eastAsia="zh-CN" w:bidi="ar-SA"/>
          <w14:textFill>
            <w14:solidFill>
              <w14:schemeClr w14:val="tx1"/>
            </w14:solidFill>
          </w14:textFill>
        </w:rPr>
        <w:t>建设</w:t>
      </w:r>
      <w:r>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t>开发、六个执法业务系统改造、数据资源建设、规范体系建设、技术培训、质保、运行维护等所需的所有费用。</w:t>
      </w:r>
    </w:p>
    <w:p w14:paraId="12B1F228">
      <w:pPr>
        <w:pStyle w:val="14"/>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val="0"/>
          <w:bCs w:val="0"/>
          <w:color w:val="000000" w:themeColor="text1"/>
          <w:kern w:val="0"/>
          <w:sz w:val="21"/>
          <w:szCs w:val="21"/>
          <w:highlight w:val="none"/>
          <w:lang w:val="en-US" w:eastAsia="zh-CN" w:bidi="ar-SA"/>
          <w14:textFill>
            <w14:solidFill>
              <w14:schemeClr w14:val="tx1"/>
            </w14:solidFill>
          </w14:textFill>
        </w:rPr>
      </w:pPr>
      <w:r>
        <w:rPr>
          <w:rFonts w:hint="eastAsia" w:ascii="宋体" w:hAnsi="宋体" w:eastAsia="宋体" w:cs="宋体"/>
          <w:b w:val="0"/>
          <w:bCs w:val="0"/>
          <w:color w:val="000000" w:themeColor="text1"/>
          <w:kern w:val="0"/>
          <w:sz w:val="21"/>
          <w:szCs w:val="21"/>
          <w:highlight w:val="none"/>
          <w:lang w:val="zh-CN" w:eastAsia="zh-CN" w:bidi="ar-SA"/>
          <w14:textFill>
            <w14:solidFill>
              <w14:schemeClr w14:val="tx1"/>
            </w14:solidFill>
          </w14:textFill>
        </w:rPr>
        <w:t>（2）本项目为固定总价合同，合同总价不受市场价格、工作量变化等其它因素的影响。</w:t>
      </w:r>
    </w:p>
    <w:p w14:paraId="1E7C741F">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4.</w:t>
      </w:r>
      <w:r>
        <w:rPr>
          <w:rFonts w:hint="eastAsia" w:ascii="宋体" w:hAnsi="宋体" w:eastAsia="宋体" w:cs="宋体"/>
          <w:color w:val="000000" w:themeColor="text1"/>
          <w:kern w:val="0"/>
          <w:sz w:val="21"/>
          <w:szCs w:val="21"/>
          <w:highlight w:val="none"/>
          <w14:textFill>
            <w14:solidFill>
              <w14:schemeClr w14:val="tx1"/>
            </w14:solidFill>
          </w14:textFill>
        </w:rPr>
        <w:t>乙方收款账户</w:t>
      </w:r>
    </w:p>
    <w:p w14:paraId="20F0AC0C">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 xml:space="preserve">账户名称：                 </w:t>
      </w:r>
    </w:p>
    <w:p w14:paraId="7E6D6605">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 xml:space="preserve">开户银行：                  </w:t>
      </w:r>
    </w:p>
    <w:p w14:paraId="65B82BE0">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银行账号：</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 xml:space="preserve">                  </w:t>
      </w:r>
    </w:p>
    <w:p w14:paraId="5333FFF2">
      <w:pPr>
        <w:keepNext w:val="0"/>
        <w:keepLines w:val="0"/>
        <w:pageBreakBefore w:val="0"/>
        <w:kinsoku/>
        <w:wordWrap/>
        <w:overflowPunct/>
        <w:topLinePunct w:val="0"/>
        <w:autoSpaceDE/>
        <w:autoSpaceDN/>
        <w:bidi w:val="0"/>
        <w:spacing w:line="360" w:lineRule="auto"/>
        <w:ind w:firstLine="422" w:firstLineChars="200"/>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22" w:name="_Toc22959"/>
      <w:r>
        <w:rPr>
          <w:rFonts w:hint="eastAsia" w:ascii="宋体" w:hAnsi="宋体" w:eastAsia="宋体" w:cs="宋体"/>
          <w:b/>
          <w:color w:val="000000" w:themeColor="text1"/>
          <w:sz w:val="21"/>
          <w:szCs w:val="21"/>
          <w:highlight w:val="none"/>
          <w14:textFill>
            <w14:solidFill>
              <w14:schemeClr w14:val="tx1"/>
            </w14:solidFill>
          </w14:textFill>
        </w:rPr>
        <w:t>第五条  知识产权</w:t>
      </w:r>
      <w:bookmarkEnd w:id="22"/>
    </w:p>
    <w:p w14:paraId="39E61288">
      <w:pPr>
        <w:keepNext w:val="0"/>
        <w:keepLines w:val="0"/>
        <w:pageBreakBefore w:val="0"/>
        <w:tabs>
          <w:tab w:val="left" w:pos="1440"/>
        </w:tabs>
        <w:kinsoku/>
        <w:wordWrap/>
        <w:overflowPunct/>
        <w:topLinePunct w:val="0"/>
        <w:autoSpaceDE/>
        <w:autoSpaceDN/>
        <w:bidi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lang w:eastAsia="zh-CN"/>
          <w14:textFill>
            <w14:solidFill>
              <w14:schemeClr w14:val="tx1"/>
            </w14:solidFill>
          </w14:textFill>
        </w:rPr>
        <w:t>采购人</w:t>
      </w:r>
      <w:r>
        <w:rPr>
          <w:rFonts w:hint="eastAsia" w:ascii="宋体" w:hAnsi="宋体" w:eastAsia="宋体" w:cs="宋体"/>
          <w:color w:val="000000" w:themeColor="text1"/>
          <w:sz w:val="21"/>
          <w:szCs w:val="21"/>
          <w:highlight w:val="none"/>
          <w14:textFill>
            <w14:solidFill>
              <w14:schemeClr w14:val="tx1"/>
            </w14:solidFill>
          </w14:textFill>
        </w:rPr>
        <w:t>和中标人共同拥有本项目所开发软件的知识产权（使用权与所有权）。非经对方同意，另一方不得以任何方式向第三方披露、转让或许可有关的技术成果、秘密信息、技术资料、标准和规范文件。</w:t>
      </w:r>
      <w:r>
        <w:rPr>
          <w:rFonts w:hint="eastAsia" w:ascii="宋体" w:hAnsi="宋体" w:eastAsia="宋体" w:cs="宋体"/>
          <w:color w:val="000000" w:themeColor="text1"/>
          <w:sz w:val="21"/>
          <w:szCs w:val="21"/>
          <w:highlight w:val="none"/>
          <w:lang w:eastAsia="zh-CN"/>
          <w14:textFill>
            <w14:solidFill>
              <w14:schemeClr w14:val="tx1"/>
            </w14:solidFill>
          </w14:textFill>
        </w:rPr>
        <w:t>采购人</w:t>
      </w:r>
      <w:r>
        <w:rPr>
          <w:rFonts w:hint="eastAsia" w:ascii="宋体" w:hAnsi="宋体" w:eastAsia="宋体" w:cs="宋体"/>
          <w:color w:val="000000" w:themeColor="text1"/>
          <w:sz w:val="21"/>
          <w:szCs w:val="21"/>
          <w:highlight w:val="none"/>
          <w14:textFill>
            <w14:solidFill>
              <w14:schemeClr w14:val="tx1"/>
            </w14:solidFill>
          </w14:textFill>
        </w:rPr>
        <w:t>独立拥有本项目所开发软件的知识产权(使用权与所有权)。非经</w:t>
      </w:r>
      <w:r>
        <w:rPr>
          <w:rFonts w:hint="eastAsia" w:ascii="宋体" w:hAnsi="宋体" w:eastAsia="宋体" w:cs="宋体"/>
          <w:color w:val="000000" w:themeColor="text1"/>
          <w:sz w:val="21"/>
          <w:szCs w:val="21"/>
          <w:highlight w:val="none"/>
          <w:lang w:eastAsia="zh-CN"/>
          <w14:textFill>
            <w14:solidFill>
              <w14:schemeClr w14:val="tx1"/>
            </w14:solidFill>
          </w14:textFill>
        </w:rPr>
        <w:t>采购人</w:t>
      </w:r>
      <w:r>
        <w:rPr>
          <w:rFonts w:hint="eastAsia" w:ascii="宋体" w:hAnsi="宋体" w:eastAsia="宋体" w:cs="宋体"/>
          <w:color w:val="000000" w:themeColor="text1"/>
          <w:sz w:val="21"/>
          <w:szCs w:val="21"/>
          <w:highlight w:val="none"/>
          <w14:textFill>
            <w14:solidFill>
              <w14:schemeClr w14:val="tx1"/>
            </w14:solidFill>
          </w14:textFill>
        </w:rPr>
        <w:t>同意,中标人不得以任何方式向第三方披露、转让或许可有关的技术成果、秘密信息技术资料、标准和规范文件。若出现知识产权纠纷，由中标人负责协调解决。</w:t>
      </w:r>
    </w:p>
    <w:p w14:paraId="59066FCF">
      <w:pPr>
        <w:keepNext w:val="0"/>
        <w:keepLines w:val="0"/>
        <w:pageBreakBefore w:val="0"/>
        <w:kinsoku/>
        <w:wordWrap/>
        <w:overflowPunct/>
        <w:topLinePunct w:val="0"/>
        <w:autoSpaceDE/>
        <w:autoSpaceDN/>
        <w:bidi w:val="0"/>
        <w:spacing w:line="360" w:lineRule="auto"/>
        <w:ind w:firstLine="422" w:firstLineChars="200"/>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23" w:name="_Toc31647"/>
      <w:r>
        <w:rPr>
          <w:rFonts w:hint="eastAsia" w:ascii="宋体" w:hAnsi="宋体" w:eastAsia="宋体" w:cs="宋体"/>
          <w:b/>
          <w:color w:val="000000" w:themeColor="text1"/>
          <w:sz w:val="21"/>
          <w:szCs w:val="21"/>
          <w:highlight w:val="none"/>
          <w14:textFill>
            <w14:solidFill>
              <w14:schemeClr w14:val="tx1"/>
            </w14:solidFill>
          </w14:textFill>
        </w:rPr>
        <w:t>第六条  无产权瑕疵条款（如有）</w:t>
      </w:r>
      <w:bookmarkEnd w:id="23"/>
    </w:p>
    <w:p w14:paraId="0D94D2B4">
      <w:pPr>
        <w:keepNext w:val="0"/>
        <w:keepLines w:val="0"/>
        <w:pageBreakBefore w:val="0"/>
        <w:tabs>
          <w:tab w:val="left" w:pos="1440"/>
        </w:tabs>
        <w:kinsoku/>
        <w:wordWrap/>
        <w:overflowPunct/>
        <w:topLinePunct w:val="0"/>
        <w:autoSpaceDE/>
        <w:autoSpaceDN/>
        <w:bidi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乙方保证所提供的服务的所有权完全属于乙方且无任何抵押、查封等产权瑕疵。如有产权瑕疵的，视为乙方违约。乙方应负担由此而产生的一切损失。</w:t>
      </w:r>
    </w:p>
    <w:p w14:paraId="56681EF9">
      <w:pPr>
        <w:keepNext w:val="0"/>
        <w:keepLines w:val="0"/>
        <w:pageBreakBefore w:val="0"/>
        <w:widowControl/>
        <w:kinsoku/>
        <w:wordWrap/>
        <w:overflowPunct/>
        <w:topLinePunct w:val="0"/>
        <w:autoSpaceDE/>
        <w:autoSpaceDN/>
        <w:bidi w:val="0"/>
        <w:spacing w:line="360" w:lineRule="auto"/>
        <w:ind w:firstLine="422" w:firstLineChars="200"/>
        <w:jc w:val="left"/>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24" w:name="_Toc4779"/>
      <w:r>
        <w:rPr>
          <w:rFonts w:hint="eastAsia" w:ascii="宋体" w:hAnsi="宋体" w:eastAsia="宋体" w:cs="宋体"/>
          <w:b/>
          <w:color w:val="000000" w:themeColor="text1"/>
          <w:sz w:val="21"/>
          <w:szCs w:val="21"/>
          <w:highlight w:val="none"/>
          <w14:textFill>
            <w14:solidFill>
              <w14:schemeClr w14:val="tx1"/>
            </w14:solidFill>
          </w14:textFill>
        </w:rPr>
        <w:t>第七条  履约保证金（如有）</w:t>
      </w:r>
      <w:bookmarkEnd w:id="24"/>
    </w:p>
    <w:p w14:paraId="7A903AC7">
      <w:pPr>
        <w:keepNext w:val="0"/>
        <w:keepLines w:val="0"/>
        <w:pageBreakBefore w:val="0"/>
        <w:widowControl/>
        <w:kinsoku/>
        <w:wordWrap/>
        <w:overflowPunct/>
        <w:topLinePunct w:val="0"/>
        <w:autoSpaceDE/>
        <w:autoSpaceDN/>
        <w:bidi w:val="0"/>
        <w:spacing w:line="360" w:lineRule="auto"/>
        <w:ind w:firstLine="420" w:firstLineChars="200"/>
        <w:jc w:val="left"/>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1.乙方在签订本合同之前，向甲方构提交履约保证金人民币</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元，</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w:t>
      </w:r>
    </w:p>
    <w:p w14:paraId="6490AA47">
      <w:pPr>
        <w:keepNext w:val="0"/>
        <w:keepLines w:val="0"/>
        <w:pageBreakBefore w:val="0"/>
        <w:widowControl/>
        <w:kinsoku/>
        <w:wordWrap/>
        <w:overflowPunct/>
        <w:topLinePunct w:val="0"/>
        <w:autoSpaceDE/>
        <w:autoSpaceDN/>
        <w:bidi w:val="0"/>
        <w:spacing w:line="360" w:lineRule="auto"/>
        <w:ind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kern w:val="0"/>
          <w:sz w:val="21"/>
          <w:szCs w:val="21"/>
          <w:highlight w:val="none"/>
          <w14:textFill>
            <w14:solidFill>
              <w14:schemeClr w14:val="tx1"/>
            </w14:solidFill>
          </w14:textFill>
        </w:rPr>
        <w:t>履约保证金的有效期为乙方承诺的服务期限。</w:t>
      </w:r>
    </w:p>
    <w:p w14:paraId="630CCA66">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3.履约保证金作为违约金的一部分及用于补偿甲方因乙方不能履行合同义务而蒙受的损失。</w:t>
      </w:r>
    </w:p>
    <w:p w14:paraId="0FFEDCBE">
      <w:pPr>
        <w:keepNext w:val="0"/>
        <w:keepLines w:val="0"/>
        <w:pageBreakBefore w:val="0"/>
        <w:widowControl/>
        <w:kinsoku/>
        <w:wordWrap/>
        <w:overflowPunct/>
        <w:topLinePunct w:val="0"/>
        <w:autoSpaceDE/>
        <w:autoSpaceDN/>
        <w:bidi w:val="0"/>
        <w:spacing w:line="360" w:lineRule="auto"/>
        <w:ind w:firstLine="420" w:firstLineChars="200"/>
        <w:jc w:val="left"/>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服务期限结束后，甲方财务部门接到甲方确认本合同服务等约定事项已经履行完毕的正式书面文件后的</w:t>
      </w:r>
      <w:r>
        <w:rPr>
          <w:rFonts w:hint="eastAsia" w:ascii="宋体" w:hAnsi="宋体" w:eastAsia="宋体" w:cs="宋体"/>
          <w:color w:val="000000" w:themeColor="text1"/>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日内，向乙方退还履约保证金。</w:t>
      </w:r>
    </w:p>
    <w:p w14:paraId="3CD6B7D3">
      <w:pPr>
        <w:keepNext w:val="0"/>
        <w:keepLines w:val="0"/>
        <w:pageBreakBefore w:val="0"/>
        <w:widowControl/>
        <w:kinsoku/>
        <w:wordWrap/>
        <w:overflowPunct/>
        <w:topLinePunct w:val="0"/>
        <w:autoSpaceDE/>
        <w:autoSpaceDN/>
        <w:bidi w:val="0"/>
        <w:spacing w:line="360" w:lineRule="auto"/>
        <w:ind w:firstLine="420" w:firstLineChars="200"/>
        <w:jc w:val="left"/>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5.乙方可以履约担保函的形式交纳履约保证金。</w:t>
      </w:r>
    </w:p>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4100923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25" w:name="_Toc16162"/>
      <w:r>
        <w:rPr>
          <w:rFonts w:hint="eastAsia" w:ascii="宋体" w:hAnsi="宋体" w:eastAsia="宋体" w:cs="宋体"/>
          <w:b/>
          <w:color w:val="000000" w:themeColor="text1"/>
          <w:sz w:val="21"/>
          <w:szCs w:val="21"/>
          <w:highlight w:val="none"/>
          <w14:textFill>
            <w14:solidFill>
              <w14:schemeClr w14:val="tx1"/>
            </w14:solidFill>
          </w14:textFill>
        </w:rPr>
        <w:t>第八条  甲方的权利和义务</w:t>
      </w:r>
      <w:bookmarkEnd w:id="25"/>
    </w:p>
    <w:p w14:paraId="517F8238">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228479CD">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2.负责检查监督乙方管理工作的实施及制度的执行情况。</w:t>
      </w:r>
    </w:p>
    <w:p w14:paraId="60920E24">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3.根据本合同规定，按时向乙方支付应付服务费用。</w:t>
      </w:r>
    </w:p>
    <w:p w14:paraId="4E2A86FE">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4.国家法律、法规所规定由甲方承担的其它责任。</w:t>
      </w:r>
    </w:p>
    <w:p w14:paraId="09161AF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26" w:name="_Toc27740"/>
      <w:r>
        <w:rPr>
          <w:rFonts w:hint="eastAsia" w:ascii="宋体" w:hAnsi="宋体" w:eastAsia="宋体" w:cs="宋体"/>
          <w:b/>
          <w:color w:val="000000" w:themeColor="text1"/>
          <w:sz w:val="21"/>
          <w:szCs w:val="21"/>
          <w:highlight w:val="none"/>
          <w14:textFill>
            <w14:solidFill>
              <w14:schemeClr w14:val="tx1"/>
            </w14:solidFill>
          </w14:textFill>
        </w:rPr>
        <w:t>第九条  乙方的权利和义务</w:t>
      </w:r>
      <w:bookmarkEnd w:id="26"/>
    </w:p>
    <w:p w14:paraId="67D3D6DA">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1.对本合同规定的委托服务范围内的项目享有管理权及服务义务。</w:t>
      </w:r>
    </w:p>
    <w:p w14:paraId="13A2F58F">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2.根据本合同的规定向甲方收取相关服务费用，并有权在本项目管理范围内管理及合理使用。</w:t>
      </w:r>
    </w:p>
    <w:p w14:paraId="50CAF19E">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3.及时向甲方通告本项目服务范围内有关服务的重大事项，及时配合处理投诉。</w:t>
      </w:r>
    </w:p>
    <w:p w14:paraId="09A0DCAE">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bCs/>
          <w:color w:val="000000" w:themeColor="text1"/>
          <w:sz w:val="21"/>
          <w:szCs w:val="21"/>
          <w:highlight w:val="none"/>
          <w14:textFill>
            <w14:solidFill>
              <w14:schemeClr w14:val="tx1"/>
            </w14:solidFill>
          </w14:textFill>
        </w:rPr>
        <w:t>接受项目行业管理部门及政府有关部门的指导，接受甲方的监督。</w:t>
      </w:r>
    </w:p>
    <w:p w14:paraId="452B27CA">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5.国家法律、法规所规定由乙方承担的其它责任。</w:t>
      </w:r>
    </w:p>
    <w:p w14:paraId="73E6F562">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default"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6.为</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保障项目顺利进行</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在合同履行过程中，乙方应严格遵守</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针对本项目在</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投标阶段</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提供</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的项目组成人员安排，不得更换</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人员</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。若因更换人员给甲方造成损失，乙方</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须</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承担</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全部的赔偿</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责任</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，甲方有权解除合同</w:t>
      </w:r>
      <w:r>
        <w:rPr>
          <w:rFonts w:hint="default" w:ascii="宋体" w:hAnsi="宋体" w:eastAsia="宋体" w:cs="宋体"/>
          <w:bCs/>
          <w:color w:val="000000" w:themeColor="text1"/>
          <w:sz w:val="21"/>
          <w:szCs w:val="21"/>
          <w:highlight w:val="none"/>
          <w:lang w:val="en-US" w:eastAsia="zh-CN"/>
          <w14:textFill>
            <w14:solidFill>
              <w14:schemeClr w14:val="tx1"/>
            </w14:solidFill>
          </w14:textFill>
        </w:rPr>
        <w:t>。</w:t>
      </w:r>
    </w:p>
    <w:p w14:paraId="6D64C3A9">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27" w:name="_Toc25988"/>
      <w:r>
        <w:rPr>
          <w:rFonts w:hint="eastAsia" w:ascii="宋体" w:hAnsi="宋体" w:eastAsia="宋体" w:cs="宋体"/>
          <w:b/>
          <w:color w:val="000000" w:themeColor="text1"/>
          <w:sz w:val="21"/>
          <w:szCs w:val="21"/>
          <w:highlight w:val="none"/>
          <w14:textFill>
            <w14:solidFill>
              <w14:schemeClr w14:val="tx1"/>
            </w14:solidFill>
          </w14:textFill>
        </w:rPr>
        <w:t>第十条  违约责任</w:t>
      </w:r>
      <w:bookmarkEnd w:id="27"/>
    </w:p>
    <w:p w14:paraId="54F8CF2E">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1.甲乙双方必须遵守本合同并执行合同中的各项规定，保证本合同的正常履行。</w:t>
      </w:r>
    </w:p>
    <w:p w14:paraId="63F39FF8">
      <w:pPr>
        <w:keepNext w:val="0"/>
        <w:keepLines w:val="0"/>
        <w:pageBreakBefore w:val="0"/>
        <w:kinsoku/>
        <w:wordWrap/>
        <w:overflowPunct/>
        <w:topLinePunct w:val="0"/>
        <w:autoSpaceDE/>
        <w:autoSpaceDN/>
        <w:bidi w:val="0"/>
        <w:adjustRightInd w:val="0"/>
        <w:spacing w:line="360" w:lineRule="auto"/>
        <w:ind w:firstLine="420" w:firstLineChars="200"/>
        <w:jc w:val="left"/>
        <w:textAlignment w:val="baseline"/>
        <w:rPr>
          <w:rFonts w:hint="eastAsia" w:ascii="宋体" w:hAnsi="宋体" w:eastAsia="宋体" w:cs="宋体"/>
          <w:bCs/>
          <w:color w:val="000000" w:themeColor="text1"/>
          <w:sz w:val="21"/>
          <w:szCs w:val="21"/>
          <w:highlight w:val="none"/>
          <w14:textFill>
            <w14:solidFill>
              <w14:schemeClr w14:val="tx1"/>
            </w14:solidFill>
          </w14:textFill>
        </w:rPr>
      </w:pPr>
      <w:r>
        <w:rPr>
          <w:rFonts w:hint="eastAsia" w:ascii="宋体" w:hAnsi="宋体" w:eastAsia="宋体" w:cs="宋体"/>
          <w:bCs/>
          <w:color w:val="000000" w:themeColor="text1"/>
          <w:sz w:val="21"/>
          <w:szCs w:val="21"/>
          <w:highlight w:val="none"/>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3FF8787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28" w:name="_Toc26448"/>
      <w:r>
        <w:rPr>
          <w:rFonts w:hint="eastAsia" w:ascii="宋体" w:hAnsi="宋体" w:eastAsia="宋体" w:cs="宋体"/>
          <w:b/>
          <w:color w:val="000000" w:themeColor="text1"/>
          <w:sz w:val="21"/>
          <w:szCs w:val="21"/>
          <w:highlight w:val="none"/>
          <w14:textFill>
            <w14:solidFill>
              <w14:schemeClr w14:val="tx1"/>
            </w14:solidFill>
          </w14:textFill>
        </w:rPr>
        <w:t>第十一条  不可抗力事件处理</w:t>
      </w:r>
      <w:bookmarkEnd w:id="28"/>
    </w:p>
    <w:p w14:paraId="16A5E111">
      <w:pPr>
        <w:keepNext w:val="0"/>
        <w:keepLines w:val="0"/>
        <w:pageBreakBefore w:val="0"/>
        <w:tabs>
          <w:tab w:val="left" w:pos="0"/>
        </w:tabs>
        <w:kinsoku/>
        <w:wordWrap/>
        <w:overflowPunct/>
        <w:topLinePunct w:val="0"/>
        <w:autoSpaceDE/>
        <w:autoSpaceDN/>
        <w:bidi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bookmarkStart w:id="29" w:name="_Toc239233919"/>
      <w:bookmarkStart w:id="30" w:name="_Toc232492933"/>
      <w:bookmarkStart w:id="31" w:name="_Toc225670756"/>
      <w:bookmarkStart w:id="32" w:name="_Toc211854454"/>
      <w:bookmarkStart w:id="33" w:name="_Toc251768867"/>
      <w:bookmarkStart w:id="34" w:name="_Toc239568423"/>
      <w:bookmarkStart w:id="35" w:name="_Toc286993792"/>
      <w:bookmarkStart w:id="36" w:name="_Toc185395254"/>
      <w:bookmarkStart w:id="37" w:name="_Toc247334846"/>
      <w:bookmarkStart w:id="38" w:name="_Toc225654649"/>
      <w:bookmarkStart w:id="39" w:name="_Toc212019599"/>
      <w:bookmarkStart w:id="40" w:name="_Toc237145411"/>
      <w:bookmarkStart w:id="41" w:name="_Toc211911353"/>
      <w:bookmarkStart w:id="42" w:name="_Toc238984980"/>
      <w:bookmarkStart w:id="43" w:name="_Toc225244857"/>
      <w:bookmarkStart w:id="44" w:name="_Toc241833908"/>
      <w:r>
        <w:rPr>
          <w:rFonts w:hint="eastAsia" w:ascii="宋体" w:hAnsi="宋体" w:eastAsia="宋体" w:cs="宋体"/>
          <w:color w:val="000000" w:themeColor="text1"/>
          <w:sz w:val="21"/>
          <w:szCs w:val="21"/>
          <w:highlight w:val="none"/>
          <w14:textFill>
            <w14:solidFill>
              <w14:schemeClr w14:val="tx1"/>
            </w14:solidFill>
          </w14:textFill>
        </w:rPr>
        <w:t>1.在合同有效期内，任何一方因不可抗力事件导致不能履行合同，则合同履行期可延长，其延长期与不可抗力影响期相同。</w:t>
      </w:r>
    </w:p>
    <w:p w14:paraId="1EAFC9AC">
      <w:pPr>
        <w:keepNext w:val="0"/>
        <w:keepLines w:val="0"/>
        <w:pageBreakBefore w:val="0"/>
        <w:tabs>
          <w:tab w:val="left" w:pos="0"/>
        </w:tabs>
        <w:kinsoku/>
        <w:wordWrap/>
        <w:overflowPunct/>
        <w:topLinePunct w:val="0"/>
        <w:autoSpaceDE/>
        <w:autoSpaceDN/>
        <w:bidi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2.不可抗力事件发生后，应立即通知对方，并寄送有关权威机构出具的证明。</w:t>
      </w:r>
    </w:p>
    <w:p w14:paraId="012B51DD">
      <w:pPr>
        <w:keepNext w:val="0"/>
        <w:keepLines w:val="0"/>
        <w:pageBreakBefore w:val="0"/>
        <w:tabs>
          <w:tab w:val="left" w:pos="0"/>
        </w:tabs>
        <w:kinsoku/>
        <w:wordWrap/>
        <w:overflowPunct/>
        <w:topLinePunct w:val="0"/>
        <w:autoSpaceDE/>
        <w:autoSpaceDN/>
        <w:bidi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3.不可抗力事件延续</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天以上，双方应通过友好协商，确定是否继续履行合同。</w:t>
      </w:r>
    </w:p>
    <w:p w14:paraId="6D3A747A">
      <w:pPr>
        <w:keepNext w:val="0"/>
        <w:keepLines w:val="0"/>
        <w:pageBreakBefore w:val="0"/>
        <w:widowControl/>
        <w:kinsoku/>
        <w:wordWrap/>
        <w:overflowPunct/>
        <w:topLinePunct w:val="0"/>
        <w:autoSpaceDE/>
        <w:autoSpaceDN/>
        <w:bidi w:val="0"/>
        <w:spacing w:before="120" w:beforeLines="50" w:after="120" w:afterLines="50" w:line="360" w:lineRule="auto"/>
        <w:ind w:firstLine="422" w:firstLineChars="200"/>
        <w:jc w:val="left"/>
        <w:outlineLvl w:val="1"/>
        <w:rPr>
          <w:rFonts w:hint="eastAsia" w:ascii="宋体" w:hAnsi="宋体" w:eastAsia="宋体" w:cs="宋体"/>
          <w:color w:val="000000" w:themeColor="text1"/>
          <w:kern w:val="0"/>
          <w:sz w:val="21"/>
          <w:szCs w:val="21"/>
          <w:highlight w:val="none"/>
          <w14:textFill>
            <w14:solidFill>
              <w14:schemeClr w14:val="tx1"/>
            </w14:solidFill>
          </w14:textFill>
        </w:rPr>
      </w:pPr>
      <w:bookmarkStart w:id="45" w:name="_Toc20448"/>
      <w:r>
        <w:rPr>
          <w:rFonts w:hint="eastAsia" w:ascii="宋体" w:hAnsi="宋体" w:eastAsia="宋体" w:cs="宋体"/>
          <w:b/>
          <w:color w:val="000000" w:themeColor="text1"/>
          <w:sz w:val="21"/>
          <w:szCs w:val="21"/>
          <w:highlight w:val="none"/>
          <w14:textFill>
            <w14:solidFill>
              <w14:schemeClr w14:val="tx1"/>
            </w14:solidFill>
          </w14:textFill>
        </w:rPr>
        <w:t xml:space="preserve">第十二条  </w:t>
      </w:r>
      <w:r>
        <w:rPr>
          <w:rFonts w:hint="eastAsia" w:ascii="宋体" w:hAnsi="宋体" w:eastAsia="宋体" w:cs="宋体"/>
          <w:b/>
          <w:color w:val="000000" w:themeColor="text1"/>
          <w:kern w:val="0"/>
          <w:sz w:val="21"/>
          <w:szCs w:val="21"/>
          <w:highlight w:val="none"/>
          <w14:textFill>
            <w14:solidFill>
              <w14:schemeClr w14:val="tx1"/>
            </w14:solidFill>
          </w14:textFill>
        </w:rPr>
        <w:t>合同的变更和终止</w:t>
      </w:r>
      <w:bookmarkEnd w:id="45"/>
    </w:p>
    <w:p w14:paraId="4F036422">
      <w:pPr>
        <w:keepNext w:val="0"/>
        <w:keepLines w:val="0"/>
        <w:pageBreakBefore w:val="0"/>
        <w:widowControl/>
        <w:kinsoku/>
        <w:wordWrap/>
        <w:overflowPunct/>
        <w:topLinePunct w:val="0"/>
        <w:autoSpaceDE/>
        <w:autoSpaceDN/>
        <w:bidi w:val="0"/>
        <w:spacing w:line="360" w:lineRule="auto"/>
        <w:ind w:firstLine="420" w:firstLineChars="200"/>
        <w:jc w:val="left"/>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除《中华人民共和国政府采购法》第49条、第50条第二款规定的情形外，本合同一经签订，甲乙双方不得擅自变更、中止或终止合同。</w:t>
      </w:r>
    </w:p>
    <w:p w14:paraId="65B7E957">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46" w:name="_Toc32004"/>
      <w:r>
        <w:rPr>
          <w:rFonts w:hint="eastAsia" w:ascii="宋体" w:hAnsi="宋体" w:eastAsia="宋体" w:cs="宋体"/>
          <w:b/>
          <w:color w:val="000000" w:themeColor="text1"/>
          <w:sz w:val="21"/>
          <w:szCs w:val="21"/>
          <w:highlight w:val="none"/>
          <w14:textFill>
            <w14:solidFill>
              <w14:schemeClr w14:val="tx1"/>
            </w14:solidFill>
          </w14:textFill>
        </w:rPr>
        <w:t>第十三条  解决合同纠纷的方式</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6"/>
    </w:p>
    <w:p w14:paraId="75581E92">
      <w:pPr>
        <w:pStyle w:val="16"/>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在执行本合同中发生的或与本合同有关的争端，双方应通过友好协商解决，经协商在</w:t>
      </w:r>
      <w:r>
        <w:rPr>
          <w:rFonts w:hint="eastAsia" w:ascii="宋体" w:hAnsi="宋体" w:eastAsia="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天内不能达成协议时，</w:t>
      </w:r>
      <w:r>
        <w:rPr>
          <w:rFonts w:hint="eastAsia" w:ascii="宋体" w:hAnsi="宋体" w:eastAsia="宋体" w:cs="宋体"/>
          <w:color w:val="000000" w:themeColor="text1"/>
          <w:kern w:val="0"/>
          <w:sz w:val="21"/>
          <w:szCs w:val="21"/>
          <w:highlight w:val="none"/>
          <w14:textFill>
            <w14:solidFill>
              <w14:schemeClr w14:val="tx1"/>
            </w14:solidFill>
          </w14:textFill>
        </w:rPr>
        <w:t>则采取以下第</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1 </w:t>
      </w:r>
      <w:r>
        <w:rPr>
          <w:rFonts w:hint="eastAsia" w:ascii="宋体" w:hAnsi="宋体" w:eastAsia="宋体" w:cs="宋体"/>
          <w:color w:val="000000" w:themeColor="text1"/>
          <w:kern w:val="0"/>
          <w:sz w:val="21"/>
          <w:szCs w:val="21"/>
          <w:highlight w:val="none"/>
          <w14:textFill>
            <w14:solidFill>
              <w14:schemeClr w14:val="tx1"/>
            </w14:solidFill>
          </w14:textFill>
        </w:rPr>
        <w:t>种方式解决争议：</w:t>
      </w:r>
    </w:p>
    <w:p w14:paraId="48F8C0C7">
      <w:pPr>
        <w:pStyle w:val="16"/>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（1）向甲方所在地有管辖权的人民法院提起诉讼；</w:t>
      </w:r>
    </w:p>
    <w:p w14:paraId="701EB5B0">
      <w:pPr>
        <w:pStyle w:val="16"/>
        <w:keepNext w:val="0"/>
        <w:keepLines w:val="0"/>
        <w:pageBreakBefore w:val="0"/>
        <w:kinsoku/>
        <w:wordWrap/>
        <w:overflowPunct/>
        <w:topLinePunct w:val="0"/>
        <w:autoSpaceDE/>
        <w:autoSpaceDN/>
        <w:bidi w:val="0"/>
        <w:spacing w:line="360" w:lineRule="auto"/>
        <w:ind w:firstLine="420"/>
        <w:rPr>
          <w:rFonts w:hint="eastAsia" w:ascii="宋体" w:hAnsi="宋体" w:eastAsia="宋体" w:cs="宋体"/>
          <w:color w:val="000000" w:themeColor="text1"/>
          <w:kern w:val="0"/>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（2）向</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14:textFill>
            <w14:solidFill>
              <w14:schemeClr w14:val="tx1"/>
            </w14:solidFill>
          </w14:textFill>
        </w:rPr>
        <w:t xml:space="preserve">  </w:t>
      </w:r>
      <w:r>
        <w:rPr>
          <w:rFonts w:hint="eastAsia" w:ascii="宋体" w:hAnsi="宋体" w:eastAsia="宋体" w:cs="宋体"/>
          <w:color w:val="000000" w:themeColor="text1"/>
          <w:kern w:val="0"/>
          <w:sz w:val="21"/>
          <w:szCs w:val="21"/>
          <w:highlight w:val="none"/>
          <w14:textFill>
            <w14:solidFill>
              <w14:schemeClr w14:val="tx1"/>
            </w14:solidFill>
          </w14:textFill>
        </w:rPr>
        <w:t>仲裁委员会按其仲裁规则申请仲裁。</w:t>
      </w:r>
    </w:p>
    <w:p w14:paraId="48D28F3C">
      <w:pPr>
        <w:keepNext w:val="0"/>
        <w:keepLines w:val="0"/>
        <w:pageBreakBefore w:val="0"/>
        <w:tabs>
          <w:tab w:val="left" w:pos="0"/>
        </w:tabs>
        <w:kinsoku/>
        <w:wordWrap/>
        <w:overflowPunct/>
        <w:topLinePunct w:val="0"/>
        <w:autoSpaceDE/>
        <w:autoSpaceDN/>
        <w:bidi w:val="0"/>
        <w:spacing w:line="360" w:lineRule="auto"/>
        <w:ind w:firstLine="420" w:firstLineChars="20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kern w:val="0"/>
          <w:sz w:val="21"/>
          <w:szCs w:val="21"/>
          <w:highlight w:val="none"/>
          <w14:textFill>
            <w14:solidFill>
              <w14:schemeClr w14:val="tx1"/>
            </w14:solidFill>
          </w14:textFill>
        </w:rPr>
        <w:t>2</w:t>
      </w:r>
      <w:r>
        <w:rPr>
          <w:rFonts w:hint="eastAsia" w:ascii="宋体" w:hAnsi="宋体" w:eastAsia="宋体" w:cs="宋体"/>
          <w:color w:val="000000" w:themeColor="text1"/>
          <w:kern w:val="0"/>
          <w:sz w:val="21"/>
          <w:szCs w:val="21"/>
          <w:highlight w:val="none"/>
          <w:lang w:val="en-US" w:eastAsia="zh-CN"/>
          <w14:textFill>
            <w14:solidFill>
              <w14:schemeClr w14:val="tx1"/>
            </w14:solidFill>
          </w14:textFill>
        </w:rPr>
        <w:t>.</w:t>
      </w:r>
      <w:r>
        <w:rPr>
          <w:rFonts w:hint="eastAsia" w:ascii="宋体" w:hAnsi="宋体" w:eastAsia="宋体" w:cs="宋体"/>
          <w:color w:val="000000" w:themeColor="text1"/>
          <w:kern w:val="0"/>
          <w:sz w:val="21"/>
          <w:szCs w:val="21"/>
          <w:highlight w:val="none"/>
          <w14:textFill>
            <w14:solidFill>
              <w14:schemeClr w14:val="tx1"/>
            </w14:solidFill>
          </w14:textFill>
        </w:rPr>
        <w:t>在仲裁期间，本合同应继续履行。</w:t>
      </w:r>
    </w:p>
    <w:p w14:paraId="557FAE1F">
      <w:pPr>
        <w:keepNext w:val="0"/>
        <w:keepLines w:val="0"/>
        <w:pageBreakBefore w:val="0"/>
        <w:kinsoku/>
        <w:wordWrap/>
        <w:overflowPunct/>
        <w:topLinePunct w:val="0"/>
        <w:autoSpaceDE/>
        <w:autoSpaceDN/>
        <w:bidi w:val="0"/>
        <w:spacing w:line="360" w:lineRule="auto"/>
        <w:ind w:left="426"/>
        <w:outlineLvl w:val="1"/>
        <w:rPr>
          <w:rFonts w:hint="eastAsia" w:ascii="宋体" w:hAnsi="宋体" w:eastAsia="宋体" w:cs="宋体"/>
          <w:b/>
          <w:color w:val="000000" w:themeColor="text1"/>
          <w:sz w:val="21"/>
          <w:szCs w:val="21"/>
          <w:highlight w:val="none"/>
          <w14:textFill>
            <w14:solidFill>
              <w14:schemeClr w14:val="tx1"/>
            </w14:solidFill>
          </w14:textFill>
        </w:rPr>
      </w:pPr>
      <w:bookmarkStart w:id="47" w:name="_Toc232492934"/>
      <w:bookmarkStart w:id="48" w:name="_Toc211854455"/>
      <w:bookmarkStart w:id="49" w:name="_Toc239568424"/>
      <w:bookmarkStart w:id="50" w:name="_Toc185395255"/>
      <w:bookmarkStart w:id="51" w:name="_Toc237145412"/>
      <w:bookmarkStart w:id="52" w:name="_Toc283019219"/>
      <w:bookmarkStart w:id="53" w:name="_Toc225244858"/>
      <w:bookmarkStart w:id="54" w:name="_Toc247334847"/>
      <w:bookmarkStart w:id="55" w:name="_Toc238984981"/>
      <w:bookmarkStart w:id="56" w:name="_Toc239233920"/>
      <w:bookmarkStart w:id="57" w:name="_Toc241833909"/>
      <w:bookmarkStart w:id="58" w:name="_Toc286993793"/>
      <w:bookmarkStart w:id="59" w:name="_Toc225654650"/>
      <w:bookmarkStart w:id="60" w:name="_Toc225670757"/>
      <w:bookmarkStart w:id="61" w:name="_Toc211911354"/>
      <w:bookmarkStart w:id="62" w:name="_Toc212019600"/>
      <w:bookmarkStart w:id="63" w:name="_Toc282696231"/>
      <w:bookmarkStart w:id="64" w:name="_Toc251768868"/>
      <w:bookmarkStart w:id="65" w:name="_Toc28433"/>
      <w:r>
        <w:rPr>
          <w:rFonts w:hint="eastAsia" w:ascii="宋体" w:hAnsi="宋体" w:eastAsia="宋体" w:cs="宋体"/>
          <w:b/>
          <w:color w:val="000000" w:themeColor="text1"/>
          <w:sz w:val="21"/>
          <w:szCs w:val="21"/>
          <w:highlight w:val="none"/>
          <w14:textFill>
            <w14:solidFill>
              <w14:schemeClr w14:val="tx1"/>
            </w14:solidFill>
          </w14:textFill>
        </w:rPr>
        <w:t>第十四条  合同</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Pr>
          <w:rFonts w:hint="eastAsia" w:ascii="宋体" w:hAnsi="宋体" w:eastAsia="宋体" w:cs="宋体"/>
          <w:b/>
          <w:color w:val="000000" w:themeColor="text1"/>
          <w:sz w:val="21"/>
          <w:szCs w:val="21"/>
          <w:highlight w:val="none"/>
          <w14:textFill>
            <w14:solidFill>
              <w14:schemeClr w14:val="tx1"/>
            </w14:solidFill>
          </w14:textFill>
        </w:rPr>
        <w:t>生效及其他</w:t>
      </w:r>
      <w:bookmarkEnd w:id="65"/>
    </w:p>
    <w:p w14:paraId="6E5E1B90">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合同经双方法定代表人（单位负责人）或授权委托代理人签字并加盖单位公章后生效。</w:t>
      </w:r>
    </w:p>
    <w:p w14:paraId="4238B89E">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合同执行中涉及采购资金和采购内容修改或补充的，须经政府采购监管部门审批，并签书面补充协议报政府采购监督管理部门备案，方可作为主合同不可分割的一部分。</w:t>
      </w:r>
    </w:p>
    <w:p w14:paraId="2D8D558D">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本合同一式</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份，自双方签章之日起起效。甲方</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份，乙方</w:t>
      </w:r>
      <w:r>
        <w:rPr>
          <w:rFonts w:hint="eastAsia" w:ascii="宋体" w:hAnsi="宋体" w:cs="宋体"/>
          <w:color w:val="000000" w:themeColor="text1"/>
          <w:sz w:val="2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份，具有同等法律效力。</w:t>
      </w:r>
    </w:p>
    <w:p w14:paraId="12EBC154">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第十五条 附件</w:t>
      </w:r>
    </w:p>
    <w:p w14:paraId="15C8F17D">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w:t>
      </w:r>
      <w:r>
        <w:rPr>
          <w:rFonts w:hint="eastAsia" w:ascii="宋体" w:hAnsi="宋体" w:cs="宋体"/>
          <w:color w:val="000000" w:themeColor="text1"/>
          <w:sz w:val="21"/>
          <w:szCs w:val="21"/>
          <w:highlight w:val="none"/>
          <w:lang w:val="en-US" w:eastAsia="zh-CN"/>
          <w14:textFill>
            <w14:solidFill>
              <w14:schemeClr w14:val="tx1"/>
            </w14:solidFill>
          </w14:textFill>
        </w:rPr>
        <w:t>招标</w:t>
      </w:r>
      <w:r>
        <w:rPr>
          <w:rFonts w:hint="eastAsia" w:ascii="宋体" w:hAnsi="宋体" w:eastAsia="宋体" w:cs="宋体"/>
          <w:color w:val="000000" w:themeColor="text1"/>
          <w:sz w:val="21"/>
          <w:szCs w:val="21"/>
          <w:highlight w:val="none"/>
          <w14:textFill>
            <w14:solidFill>
              <w14:schemeClr w14:val="tx1"/>
            </w14:solidFill>
          </w14:textFill>
        </w:rPr>
        <w:t>文件</w:t>
      </w:r>
    </w:p>
    <w:p w14:paraId="2E5524B4">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2</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项目修改澄清文件</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如有</w:t>
      </w:r>
      <w:r>
        <w:rPr>
          <w:rFonts w:hint="eastAsia" w:ascii="宋体" w:hAnsi="宋体" w:cs="宋体"/>
          <w:color w:val="000000" w:themeColor="text1"/>
          <w:sz w:val="21"/>
          <w:szCs w:val="21"/>
          <w:highlight w:val="none"/>
          <w:lang w:eastAsia="zh-CN"/>
          <w14:textFill>
            <w14:solidFill>
              <w14:schemeClr w14:val="tx1"/>
            </w14:solidFill>
          </w14:textFill>
        </w:rPr>
        <w:t>）</w:t>
      </w:r>
    </w:p>
    <w:p w14:paraId="04BDE77F">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3</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w:t>
      </w:r>
      <w:r>
        <w:rPr>
          <w:rFonts w:hint="eastAsia" w:ascii="宋体" w:hAnsi="宋体" w:cs="宋体"/>
          <w:color w:val="000000" w:themeColor="text1"/>
          <w:sz w:val="21"/>
          <w:szCs w:val="21"/>
          <w:highlight w:val="none"/>
          <w:lang w:val="en-US" w:eastAsia="zh-CN"/>
          <w14:textFill>
            <w14:solidFill>
              <w14:schemeClr w14:val="tx1"/>
            </w14:solidFill>
          </w14:textFill>
        </w:rPr>
        <w:t>投标</w:t>
      </w:r>
      <w:r>
        <w:rPr>
          <w:rFonts w:hint="eastAsia" w:ascii="宋体" w:hAnsi="宋体" w:eastAsia="宋体" w:cs="宋体"/>
          <w:color w:val="000000" w:themeColor="text1"/>
          <w:sz w:val="21"/>
          <w:szCs w:val="21"/>
          <w:highlight w:val="none"/>
          <w14:textFill>
            <w14:solidFill>
              <w14:schemeClr w14:val="tx1"/>
            </w14:solidFill>
          </w14:textFill>
        </w:rPr>
        <w:t>文件</w:t>
      </w:r>
    </w:p>
    <w:p w14:paraId="53E4EC7E">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4</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cs="宋体"/>
          <w:color w:val="000000" w:themeColor="text1"/>
          <w:sz w:val="21"/>
          <w:szCs w:val="21"/>
          <w:highlight w:val="none"/>
          <w:lang w:val="en-US" w:eastAsia="zh-CN"/>
          <w14:textFill>
            <w14:solidFill>
              <w14:schemeClr w14:val="tx1"/>
            </w14:solidFill>
          </w14:textFill>
        </w:rPr>
        <w:t>中标</w:t>
      </w:r>
      <w:r>
        <w:rPr>
          <w:rFonts w:hint="eastAsia" w:ascii="宋体" w:hAnsi="宋体" w:eastAsia="宋体" w:cs="宋体"/>
          <w:color w:val="000000" w:themeColor="text1"/>
          <w:sz w:val="21"/>
          <w:szCs w:val="21"/>
          <w:highlight w:val="none"/>
          <w14:textFill>
            <w14:solidFill>
              <w14:schemeClr w14:val="tx1"/>
            </w14:solidFill>
          </w14:textFill>
        </w:rPr>
        <w:t>通知书</w:t>
      </w:r>
    </w:p>
    <w:p w14:paraId="29946C20">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5</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其他</w:t>
      </w:r>
    </w:p>
    <w:p w14:paraId="414A4A95">
      <w:pPr>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br w:type="page"/>
      </w:r>
    </w:p>
    <w:p w14:paraId="22A33865">
      <w:pPr>
        <w:pStyle w:val="1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此页无正文</w:t>
      </w:r>
      <w:r>
        <w:rPr>
          <w:rFonts w:hint="eastAsia" w:ascii="宋体" w:hAnsi="宋体" w:eastAsia="宋体" w:cs="宋体"/>
          <w:color w:val="000000" w:themeColor="text1"/>
          <w:sz w:val="21"/>
          <w:szCs w:val="21"/>
          <w:highlight w:val="none"/>
          <w:lang w:eastAsia="zh-CN"/>
          <w14:textFill>
            <w14:solidFill>
              <w14:schemeClr w14:val="tx1"/>
            </w14:solidFill>
          </w14:textFill>
        </w:rPr>
        <w:t>）</w:t>
      </w:r>
    </w:p>
    <w:p w14:paraId="1106D6DF">
      <w:pPr>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p>
    <w:p w14:paraId="3EA59123">
      <w:pPr>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甲方：   （盖章）   </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乙方：   （盖章）</w:t>
      </w:r>
    </w:p>
    <w:p w14:paraId="6EB09FD3">
      <w:pPr>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cs="宋体"/>
          <w:color w:val="000000" w:themeColor="text1"/>
          <w:sz w:val="21"/>
          <w:szCs w:val="21"/>
          <w:highlight w:val="none"/>
          <w:lang w:eastAsia="zh-CN"/>
          <w14:textFill>
            <w14:solidFill>
              <w14:schemeClr w14:val="tx1"/>
            </w14:solidFill>
          </w14:textFill>
        </w:rPr>
        <w:t>或</w:t>
      </w:r>
      <w:r>
        <w:rPr>
          <w:rFonts w:hint="eastAsia" w:ascii="宋体" w:hAnsi="宋体" w:eastAsia="宋体" w:cs="宋体"/>
          <w:color w:val="000000" w:themeColor="text1"/>
          <w:sz w:val="21"/>
          <w:szCs w:val="21"/>
          <w:highlight w:val="none"/>
          <w14:textFill>
            <w14:solidFill>
              <w14:schemeClr w14:val="tx1"/>
            </w14:solidFill>
          </w14:textFill>
        </w:rPr>
        <w:t>（单位负责人）</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 xml:space="preserve">       </w:t>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法定代表人</w:t>
      </w:r>
      <w:r>
        <w:rPr>
          <w:rFonts w:hint="eastAsia" w:ascii="宋体" w:hAnsi="宋体" w:cs="宋体"/>
          <w:color w:val="000000" w:themeColor="text1"/>
          <w:sz w:val="21"/>
          <w:szCs w:val="21"/>
          <w:highlight w:val="none"/>
          <w:lang w:eastAsia="zh-CN"/>
          <w14:textFill>
            <w14:solidFill>
              <w14:schemeClr w14:val="tx1"/>
            </w14:solidFill>
          </w14:textFill>
        </w:rPr>
        <w:t>或</w:t>
      </w:r>
      <w:r>
        <w:rPr>
          <w:rFonts w:hint="eastAsia" w:ascii="宋体" w:hAnsi="宋体" w:eastAsia="宋体" w:cs="宋体"/>
          <w:color w:val="000000" w:themeColor="text1"/>
          <w:sz w:val="21"/>
          <w:szCs w:val="21"/>
          <w:highlight w:val="none"/>
          <w14:textFill>
            <w14:solidFill>
              <w14:schemeClr w14:val="tx1"/>
            </w14:solidFill>
          </w14:textFill>
        </w:rPr>
        <w:t>（单位负责人）</w:t>
      </w:r>
      <w:r>
        <w:rPr>
          <w:rFonts w:hint="eastAsia" w:ascii="宋体" w:hAnsi="宋体" w:cs="宋体"/>
          <w:color w:val="000000" w:themeColor="text1"/>
          <w:sz w:val="21"/>
          <w:szCs w:val="21"/>
          <w:highlight w:val="none"/>
          <w:lang w:eastAsia="zh-CN"/>
          <w14:textFill>
            <w14:solidFill>
              <w14:schemeClr w14:val="tx1"/>
            </w14:solidFill>
          </w14:textFill>
        </w:rPr>
        <w:t>：</w:t>
      </w:r>
    </w:p>
    <w:p w14:paraId="4F759F03">
      <w:pPr>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地    址：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 xml:space="preserve"> 地    址：</w:t>
      </w:r>
    </w:p>
    <w:p w14:paraId="1671F7A9">
      <w:pPr>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开户银行：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开户银行：</w:t>
      </w:r>
    </w:p>
    <w:p w14:paraId="26168B70">
      <w:pPr>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账号：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账号：</w:t>
      </w:r>
    </w:p>
    <w:p w14:paraId="348647FF">
      <w:pPr>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电    话：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电    话：</w:t>
      </w:r>
    </w:p>
    <w:p w14:paraId="7B41A07F">
      <w:pPr>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传    真：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传    真：</w:t>
      </w:r>
    </w:p>
    <w:p w14:paraId="3E0F5199">
      <w:pPr>
        <w:keepNext w:val="0"/>
        <w:keepLines w:val="0"/>
        <w:pageBreakBefore w:val="0"/>
        <w:kinsoku/>
        <w:wordWrap/>
        <w:overflowPunct/>
        <w:topLinePunct w:val="0"/>
        <w:autoSpaceDE/>
        <w:autoSpaceDN/>
        <w:bidi w:val="0"/>
        <w:spacing w:line="360" w:lineRule="auto"/>
        <w:ind w:firstLine="0"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 xml:space="preserve">签约日期：  年  月  日 </w:t>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14:textFill>
            <w14:solidFill>
              <w14:schemeClr w14:val="tx1"/>
            </w14:solidFill>
          </w14:textFill>
        </w:rPr>
        <w:tab/>
      </w: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cs="宋体"/>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1"/>
          <w:szCs w:val="21"/>
          <w:highlight w:val="none"/>
          <w14:textFill>
            <w14:solidFill>
              <w14:schemeClr w14:val="tx1"/>
            </w14:solidFill>
          </w14:textFill>
        </w:rPr>
        <w:t>签约日期：  年  月  日</w:t>
      </w:r>
    </w:p>
    <w:p w14:paraId="5368A499">
      <w:pPr>
        <w:pStyle w:val="7"/>
        <w:keepNext w:val="0"/>
        <w:keepLines w:val="0"/>
        <w:pageBreakBefore w:val="0"/>
        <w:kinsoku/>
        <w:wordWrap/>
        <w:overflowPunct/>
        <w:topLinePunct w:val="0"/>
        <w:autoSpaceDE/>
        <w:autoSpaceDN/>
        <w:bidi w:val="0"/>
        <w:spacing w:line="360" w:lineRule="auto"/>
        <w:rPr>
          <w:rFonts w:hint="eastAsia" w:ascii="宋体" w:hAnsi="宋体" w:eastAsia="宋体" w:cs="宋体"/>
          <w:color w:val="000000" w:themeColor="text1"/>
          <w:sz w:val="21"/>
          <w:szCs w:val="21"/>
          <w:highlight w:val="none"/>
          <w14:textFill>
            <w14:solidFill>
              <w14:schemeClr w14:val="tx1"/>
            </w14:solidFill>
          </w14:textFill>
        </w:rPr>
      </w:pPr>
    </w:p>
    <w:p w14:paraId="13C2D9FA">
      <w:pPr>
        <w:keepNext w:val="0"/>
        <w:keepLines w:val="0"/>
        <w:pageBreakBefore w:val="0"/>
        <w:kinsoku/>
        <w:wordWrap/>
        <w:overflowPunct/>
        <w:topLinePunct w:val="0"/>
        <w:autoSpaceDE/>
        <w:autoSpaceDN/>
        <w:bidi w:val="0"/>
        <w:spacing w:line="360" w:lineRule="auto"/>
        <w:rPr>
          <w:color w:val="000000" w:themeColor="text1"/>
          <w:sz w:val="21"/>
          <w:szCs w:val="21"/>
          <w:highlight w:val="none"/>
          <w14:textFill>
            <w14:solidFill>
              <w14:schemeClr w14:val="tx1"/>
            </w14:solidFill>
          </w14:textFill>
        </w:rPr>
      </w:pPr>
    </w:p>
    <w:p w14:paraId="04A74026">
      <w:pPr>
        <w:pStyle w:val="14"/>
        <w:keepNext w:val="0"/>
        <w:keepLines w:val="0"/>
        <w:pageBreakBefore w:val="0"/>
        <w:kinsoku/>
        <w:wordWrap/>
        <w:overflowPunct/>
        <w:topLinePunct w:val="0"/>
        <w:autoSpaceDE/>
        <w:autoSpaceDN/>
        <w:bidi w:val="0"/>
        <w:spacing w:line="360" w:lineRule="auto"/>
        <w:rPr>
          <w:rFonts w:hint="eastAsia"/>
          <w:color w:val="000000" w:themeColor="text1"/>
          <w:sz w:val="21"/>
          <w:szCs w:val="21"/>
          <w:highlight w:val="none"/>
          <w:lang w:val="en-US" w:eastAsia="zh-Hans"/>
          <w14:textFill>
            <w14:solidFill>
              <w14:schemeClr w14:val="tx1"/>
            </w14:solidFill>
          </w14:textFill>
        </w:rPr>
      </w:pPr>
    </w:p>
    <w:p w14:paraId="6A831CEF">
      <w:pPr>
        <w:pStyle w:val="14"/>
        <w:keepNext w:val="0"/>
        <w:keepLines w:val="0"/>
        <w:pageBreakBefore w:val="0"/>
        <w:kinsoku/>
        <w:wordWrap/>
        <w:overflowPunct/>
        <w:topLinePunct w:val="0"/>
        <w:autoSpaceDE/>
        <w:autoSpaceDN/>
        <w:bidi w:val="0"/>
        <w:spacing w:line="360" w:lineRule="auto"/>
        <w:rPr>
          <w:rFonts w:hint="eastAsia"/>
          <w:color w:val="000000" w:themeColor="text1"/>
          <w:sz w:val="21"/>
          <w:szCs w:val="21"/>
          <w:highlight w:val="none"/>
          <w:lang w:val="en-US" w:eastAsia="zh-Hans"/>
          <w14:textFill>
            <w14:solidFill>
              <w14:schemeClr w14:val="tx1"/>
            </w14:solidFill>
          </w14:textFill>
        </w:rPr>
      </w:pPr>
    </w:p>
    <w:p w14:paraId="326270F9">
      <w:pPr>
        <w:pStyle w:val="14"/>
        <w:keepNext w:val="0"/>
        <w:keepLines w:val="0"/>
        <w:pageBreakBefore w:val="0"/>
        <w:kinsoku/>
        <w:wordWrap/>
        <w:overflowPunct/>
        <w:topLinePunct w:val="0"/>
        <w:autoSpaceDE/>
        <w:autoSpaceDN/>
        <w:bidi w:val="0"/>
        <w:spacing w:line="360" w:lineRule="auto"/>
        <w:rPr>
          <w:rFonts w:hint="eastAsia"/>
          <w:color w:val="000000" w:themeColor="text1"/>
          <w:sz w:val="21"/>
          <w:szCs w:val="21"/>
          <w:highlight w:val="none"/>
          <w:lang w:val="en-US" w:eastAsia="zh-Hans"/>
          <w14:textFill>
            <w14:solidFill>
              <w14:schemeClr w14:val="tx1"/>
            </w14:solidFill>
          </w14:textFill>
        </w:rPr>
      </w:pPr>
    </w:p>
    <w:p w14:paraId="2E9FB114">
      <w:pPr>
        <w:pStyle w:val="14"/>
        <w:keepNext w:val="0"/>
        <w:keepLines w:val="0"/>
        <w:pageBreakBefore w:val="0"/>
        <w:kinsoku/>
        <w:wordWrap/>
        <w:overflowPunct/>
        <w:topLinePunct w:val="0"/>
        <w:autoSpaceDE/>
        <w:autoSpaceDN/>
        <w:bidi w:val="0"/>
        <w:spacing w:line="360" w:lineRule="auto"/>
        <w:rPr>
          <w:rFonts w:hint="eastAsia"/>
          <w:color w:val="000000" w:themeColor="text1"/>
          <w:sz w:val="21"/>
          <w:szCs w:val="21"/>
          <w:highlight w:val="none"/>
          <w:lang w:val="en-US" w:eastAsia="zh-Hans"/>
          <w14:textFill>
            <w14:solidFill>
              <w14:schemeClr w14:val="tx1"/>
            </w14:solidFill>
          </w14:textFill>
        </w:rPr>
      </w:pPr>
    </w:p>
    <w:p w14:paraId="19E9D157">
      <w:pPr>
        <w:pStyle w:val="14"/>
        <w:keepNext w:val="0"/>
        <w:keepLines w:val="0"/>
        <w:pageBreakBefore w:val="0"/>
        <w:kinsoku/>
        <w:wordWrap/>
        <w:overflowPunct/>
        <w:topLinePunct w:val="0"/>
        <w:autoSpaceDE/>
        <w:autoSpaceDN/>
        <w:bidi w:val="0"/>
        <w:spacing w:line="360" w:lineRule="auto"/>
        <w:rPr>
          <w:rFonts w:hint="eastAsia"/>
          <w:color w:val="000000" w:themeColor="text1"/>
          <w:sz w:val="21"/>
          <w:szCs w:val="21"/>
          <w:highlight w:val="none"/>
          <w:lang w:val="en-US" w:eastAsia="zh-Hans"/>
          <w14:textFill>
            <w14:solidFill>
              <w14:schemeClr w14:val="tx1"/>
            </w14:solidFill>
          </w14:textFill>
        </w:rPr>
      </w:pPr>
    </w:p>
    <w:p w14:paraId="0D9176C9">
      <w:pPr>
        <w:pStyle w:val="14"/>
        <w:keepNext w:val="0"/>
        <w:keepLines w:val="0"/>
        <w:pageBreakBefore w:val="0"/>
        <w:kinsoku/>
        <w:wordWrap/>
        <w:overflowPunct/>
        <w:topLinePunct w:val="0"/>
        <w:autoSpaceDE/>
        <w:autoSpaceDN/>
        <w:bidi w:val="0"/>
        <w:spacing w:line="360" w:lineRule="auto"/>
        <w:rPr>
          <w:rFonts w:hint="eastAsia"/>
          <w:color w:val="000000" w:themeColor="text1"/>
          <w:sz w:val="21"/>
          <w:szCs w:val="21"/>
          <w:highlight w:val="none"/>
          <w:lang w:val="en-US" w:eastAsia="zh-Hans"/>
          <w14:textFill>
            <w14:solidFill>
              <w14:schemeClr w14:val="tx1"/>
            </w14:solidFill>
          </w14:textFill>
        </w:rPr>
      </w:pPr>
    </w:p>
    <w:p w14:paraId="1EBADB92">
      <w:pPr>
        <w:rPr>
          <w:rFonts w:hint="eastAsia" w:ascii="宋体" w:hAnsi="宋体" w:eastAsia="宋体" w:cs="宋体"/>
          <w:color w:val="000000" w:themeColor="text1"/>
          <w:sz w:val="21"/>
          <w:szCs w:val="21"/>
          <w:highlight w:val="none"/>
          <w:lang w:val="en-US" w:eastAsia="zh-Hans"/>
          <w14:textFill>
            <w14:solidFill>
              <w14:schemeClr w14:val="tx1"/>
            </w14:solidFill>
          </w14:textFill>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7B09D">
    <w:pPr>
      <w:pStyle w:val="7"/>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0FEA02">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E0FEA02">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6E2E65">
                          <w:pPr>
                            <w:pStyle w:val="9"/>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66E2E65">
                    <w:pPr>
                      <w:pStyle w:val="9"/>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AD2DC"/>
    <w:multiLevelType w:val="singleLevel"/>
    <w:tmpl w:val="BE7AD2DC"/>
    <w:lvl w:ilvl="0" w:tentative="0">
      <w:start w:val="1"/>
      <w:numFmt w:val="chineseCounting"/>
      <w:suff w:val="space"/>
      <w:lvlText w:val="第%1条"/>
      <w:lvlJc w:val="left"/>
      <w:rPr>
        <w:rFonts w:hint="eastAsia"/>
      </w:rPr>
    </w:lvl>
  </w:abstractNum>
  <w:abstractNum w:abstractNumId="1">
    <w:nsid w:val="1C7693ED"/>
    <w:multiLevelType w:val="singleLevel"/>
    <w:tmpl w:val="1C7693ED"/>
    <w:lvl w:ilvl="0" w:tentative="0">
      <w:start w:val="2"/>
      <w:numFmt w:val="chineseCounting"/>
      <w:suff w:val="space"/>
      <w:lvlText w:val="第%1条"/>
      <w:lvlJc w:val="left"/>
      <w:rPr>
        <w:rFonts w:hint="eastAsia"/>
      </w:rPr>
    </w:lvl>
  </w:abstractNum>
  <w:abstractNum w:abstractNumId="2">
    <w:nsid w:val="406B0C5A"/>
    <w:multiLevelType w:val="multilevel"/>
    <w:tmpl w:val="406B0C5A"/>
    <w:lvl w:ilvl="0" w:tentative="0">
      <w:start w:val="1"/>
      <w:numFmt w:val="chineseCountingThousand"/>
      <w:lvlText w:val="第%1章"/>
      <w:lvlJc w:val="left"/>
      <w:pPr>
        <w:tabs>
          <w:tab w:val="left" w:pos="0"/>
        </w:tabs>
        <w:ind w:left="0" w:firstLine="0"/>
      </w:pPr>
      <w:rPr>
        <w:rFonts w:hint="eastAsia"/>
      </w:rPr>
    </w:lvl>
    <w:lvl w:ilvl="1" w:tentative="0">
      <w:start w:val="4"/>
      <w:numFmt w:val="decimal"/>
      <w:isLgl/>
      <w:lvlText w:val="%1.%2"/>
      <w:lvlJc w:val="left"/>
      <w:pPr>
        <w:tabs>
          <w:tab w:val="left" w:pos="0"/>
        </w:tabs>
        <w:ind w:left="0" w:firstLine="0"/>
      </w:pPr>
      <w:rPr>
        <w:rFonts w:hint="eastAsia" w:ascii="宋体" w:hAnsi="宋体" w:eastAsia="宋体"/>
      </w:rPr>
    </w:lvl>
    <w:lvl w:ilvl="2" w:tentative="0">
      <w:start w:val="1"/>
      <w:numFmt w:val="decimal"/>
      <w:isLgl/>
      <w:lvlText w:val="%1.%2.%3"/>
      <w:lvlJc w:val="left"/>
      <w:pPr>
        <w:tabs>
          <w:tab w:val="left" w:pos="0"/>
        </w:tabs>
        <w:ind w:left="0" w:firstLine="0"/>
      </w:pPr>
      <w:rPr>
        <w:rFonts w:hint="eastAsia" w:ascii="宋体" w:hAnsi="宋体" w:eastAsia="宋体"/>
      </w:rPr>
    </w:lvl>
    <w:lvl w:ilvl="3" w:tentative="0">
      <w:start w:val="1"/>
      <w:numFmt w:val="decimal"/>
      <w:pStyle w:val="3"/>
      <w:isLgl/>
      <w:suff w:val="space"/>
      <w:lvlText w:val="%1.%2.%3.%4"/>
      <w:lvlJc w:val="left"/>
      <w:pPr>
        <w:ind w:left="0" w:firstLine="0"/>
      </w:pPr>
      <w:rPr>
        <w:rFonts w:hint="eastAsia" w:ascii="宋体" w:hAnsi="宋体" w:eastAsia="宋体"/>
      </w:rPr>
    </w:lvl>
    <w:lvl w:ilvl="4" w:tentative="0">
      <w:start w:val="1"/>
      <w:numFmt w:val="decimal"/>
      <w:isLgl/>
      <w:lvlText w:val="%1.%2.%3.%4.%5"/>
      <w:lvlJc w:val="left"/>
      <w:pPr>
        <w:tabs>
          <w:tab w:val="left" w:pos="0"/>
        </w:tabs>
        <w:ind w:left="0" w:firstLine="0"/>
      </w:pPr>
      <w:rPr>
        <w:rFonts w:hint="eastAsia"/>
      </w:rPr>
    </w:lvl>
    <w:lvl w:ilvl="5" w:tentative="0">
      <w:start w:val="1"/>
      <w:numFmt w:val="decimal"/>
      <w:isLgl/>
      <w:lvlText w:val="%1.%2.%3.%4.%5.%6"/>
      <w:lvlJc w:val="left"/>
      <w:pPr>
        <w:tabs>
          <w:tab w:val="left" w:pos="426"/>
        </w:tabs>
        <w:ind w:left="426" w:firstLine="0"/>
      </w:pPr>
      <w:rPr>
        <w:rFonts w:hint="eastAsia"/>
      </w:rPr>
    </w:lvl>
    <w:lvl w:ilvl="6" w:tentative="0">
      <w:start w:val="1"/>
      <w:numFmt w:val="decimal"/>
      <w:lvlText w:val="%1.%2.%3.%4.%5.%6.%7"/>
      <w:lvlJc w:val="left"/>
      <w:pPr>
        <w:tabs>
          <w:tab w:val="left" w:pos="0"/>
        </w:tabs>
        <w:ind w:left="0" w:firstLine="0"/>
      </w:pPr>
      <w:rPr>
        <w:rFonts w:hint="eastAsia"/>
      </w:rPr>
    </w:lvl>
    <w:lvl w:ilvl="7" w:tentative="0">
      <w:start w:val="1"/>
      <w:numFmt w:val="decimal"/>
      <w:lvlText w:val="%1.%2.%3.%4.%5.%6.%7.%8"/>
      <w:lvlJc w:val="left"/>
      <w:pPr>
        <w:tabs>
          <w:tab w:val="left" w:pos="1447"/>
        </w:tabs>
        <w:ind w:left="0" w:firstLine="0"/>
      </w:pPr>
      <w:rPr>
        <w:rFonts w:hint="eastAsia"/>
      </w:rPr>
    </w:lvl>
    <w:lvl w:ilvl="8" w:tentative="0">
      <w:start w:val="1"/>
      <w:numFmt w:val="decimal"/>
      <w:lvlText w:val="%1.%2.%3.%4.%5.%6.%7.%8.%9"/>
      <w:lvlJc w:val="left"/>
      <w:pPr>
        <w:tabs>
          <w:tab w:val="left" w:pos="1447"/>
        </w:tabs>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26E5AEC"/>
    <w:rsid w:val="03E826B5"/>
    <w:rsid w:val="04CF3DF9"/>
    <w:rsid w:val="0B5B6457"/>
    <w:rsid w:val="0DE63F82"/>
    <w:rsid w:val="0F450D7E"/>
    <w:rsid w:val="0FA2582B"/>
    <w:rsid w:val="12831A1C"/>
    <w:rsid w:val="15491C23"/>
    <w:rsid w:val="177F50ED"/>
    <w:rsid w:val="18703B84"/>
    <w:rsid w:val="188624CB"/>
    <w:rsid w:val="1F401EDA"/>
    <w:rsid w:val="20DF65C7"/>
    <w:rsid w:val="245E7E1D"/>
    <w:rsid w:val="25167C08"/>
    <w:rsid w:val="268E2013"/>
    <w:rsid w:val="2BFF667C"/>
    <w:rsid w:val="2CC52282"/>
    <w:rsid w:val="2DE676A6"/>
    <w:rsid w:val="329D05BC"/>
    <w:rsid w:val="35003100"/>
    <w:rsid w:val="38256B76"/>
    <w:rsid w:val="3FEB6111"/>
    <w:rsid w:val="3FEE01E3"/>
    <w:rsid w:val="41365A13"/>
    <w:rsid w:val="41B3221D"/>
    <w:rsid w:val="42574020"/>
    <w:rsid w:val="4741531E"/>
    <w:rsid w:val="48D1614E"/>
    <w:rsid w:val="49073D03"/>
    <w:rsid w:val="4A963F66"/>
    <w:rsid w:val="4B7F0DA6"/>
    <w:rsid w:val="4BE32028"/>
    <w:rsid w:val="4E05543D"/>
    <w:rsid w:val="4F1D6A04"/>
    <w:rsid w:val="53715570"/>
    <w:rsid w:val="53B52B8D"/>
    <w:rsid w:val="54A62783"/>
    <w:rsid w:val="561E572D"/>
    <w:rsid w:val="58244C52"/>
    <w:rsid w:val="5AA72655"/>
    <w:rsid w:val="5CE12CC9"/>
    <w:rsid w:val="62436329"/>
    <w:rsid w:val="64C87D7A"/>
    <w:rsid w:val="64D171F6"/>
    <w:rsid w:val="6C9700B0"/>
    <w:rsid w:val="765D6891"/>
    <w:rsid w:val="766B7A3A"/>
    <w:rsid w:val="77194B93"/>
    <w:rsid w:val="77F79321"/>
    <w:rsid w:val="7BD1632A"/>
    <w:rsid w:val="7D865D48"/>
    <w:rsid w:val="7EC36D32"/>
    <w:rsid w:val="7EC44221"/>
    <w:rsid w:val="7F3713D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9"/>
    <w:pPr>
      <w:keepNext/>
      <w:keepLines/>
      <w:numPr>
        <w:ilvl w:val="3"/>
        <w:numId w:val="1"/>
      </w:numPr>
      <w:spacing w:before="280" w:after="290" w:line="376" w:lineRule="auto"/>
      <w:outlineLvl w:val="3"/>
    </w:pPr>
    <w:rPr>
      <w:rFonts w:ascii="Calibri Light" w:hAnsi="Calibri Light" w:eastAsia="宋体" w:cs="Times New Roman"/>
      <w:b/>
      <w:bCs/>
      <w:kern w:val="0"/>
      <w:sz w:val="28"/>
      <w:szCs w:val="28"/>
      <w:lang w:val="zh-CN"/>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qFormat/>
    <w:uiPriority w:val="0"/>
    <w:pPr>
      <w:jc w:val="left"/>
    </w:pPr>
  </w:style>
  <w:style w:type="paragraph" w:styleId="6">
    <w:name w:val="Body Text 3"/>
    <w:basedOn w:val="1"/>
    <w:qFormat/>
    <w:uiPriority w:val="0"/>
    <w:pPr>
      <w:spacing w:after="120"/>
    </w:pPr>
    <w:rPr>
      <w:sz w:val="16"/>
      <w:szCs w:val="16"/>
    </w:r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Times New Roman"/>
      <w:kern w:val="0"/>
      <w:sz w:val="28"/>
      <w:szCs w:val="24"/>
      <w:lang w:val="zh-CN"/>
    </w:rPr>
  </w:style>
  <w:style w:type="paragraph" w:styleId="11">
    <w:name w:val="Body Text First Indent"/>
    <w:basedOn w:val="7"/>
    <w:qFormat/>
    <w:uiPriority w:val="0"/>
    <w:pPr>
      <w:ind w:firstLine="420" w:firstLineChars="100"/>
    </w:pPr>
    <w:rPr>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Char1"/>
    <w:basedOn w:val="1"/>
    <w:qFormat/>
    <w:uiPriority w:val="0"/>
    <w:rPr>
      <w:szCs w:val="21"/>
    </w:rPr>
  </w:style>
  <w:style w:type="paragraph" w:customStyle="1" w:styleId="16">
    <w:name w:val="样式 首行缩进:  2 字符"/>
    <w:basedOn w:val="1"/>
    <w:qFormat/>
    <w:uiPriority w:val="0"/>
    <w:pPr>
      <w:spacing w:line="400" w:lineRule="exact"/>
      <w:ind w:firstLine="200" w:firstLineChars="200"/>
    </w:pPr>
    <w:rPr>
      <w:rFonts w:cs="宋体"/>
      <w:sz w:val="24"/>
    </w:rPr>
  </w:style>
  <w:style w:type="paragraph" w:styleId="17">
    <w:name w:val="List Paragraph"/>
    <w:basedOn w:val="1"/>
    <w:qFormat/>
    <w:uiPriority w:val="0"/>
    <w:pPr>
      <w:ind w:firstLine="420" w:firstLineChars="200"/>
    </w:pPr>
    <w:rPr>
      <w:sz w:val="18"/>
      <w:szCs w:val="18"/>
    </w:rPr>
  </w:style>
  <w:style w:type="paragraph" w:customStyle="1" w:styleId="18">
    <w:name w:val="my正文"/>
    <w:basedOn w:val="1"/>
    <w:qFormat/>
    <w:uiPriority w:val="0"/>
    <w:pPr>
      <w:spacing w:line="360" w:lineRule="auto"/>
      <w:ind w:firstLine="480" w:firstLineChars="200"/>
    </w:pPr>
    <w:rPr>
      <w:rFonts w:eastAsia="宋体"/>
      <w:kern w:val="0"/>
      <w:sz w:val="24"/>
      <w:szCs w:val="20"/>
    </w:rPr>
  </w:style>
  <w:style w:type="paragraph" w:customStyle="1" w:styleId="19">
    <w:name w:val="方案正文"/>
    <w:basedOn w:val="1"/>
    <w:qFormat/>
    <w:uiPriority w:val="0"/>
    <w:pPr>
      <w:adjustRightInd w:val="0"/>
      <w:spacing w:before="120" w:line="360" w:lineRule="auto"/>
      <w:ind w:left="425" w:firstLine="425" w:firstLineChars="177"/>
      <w:textAlignment w:val="baseline"/>
    </w:pPr>
    <w:rPr>
      <w:rFonts w:ascii="华文细黑" w:hAnsi="华文细黑" w:eastAsia="华文细黑" w:cs="Times New Roman"/>
      <w:color w:val="000000"/>
      <w:sz w:val="24"/>
    </w:rPr>
  </w:style>
  <w:style w:type="paragraph" w:customStyle="1" w:styleId="20">
    <w:name w:val="***正文"/>
    <w:basedOn w:val="1"/>
    <w:qFormat/>
    <w:uiPriority w:val="0"/>
    <w:pPr>
      <w:autoSpaceDE w:val="0"/>
      <w:autoSpaceDN w:val="0"/>
      <w:adjustRightInd w:val="0"/>
      <w:spacing w:line="360" w:lineRule="auto"/>
      <w:ind w:firstLine="480" w:firstLineChars="200"/>
      <w:jc w:val="left"/>
    </w:pPr>
    <w:rPr>
      <w:rFonts w:eastAsia="宋体"/>
      <w:bCs/>
      <w:color w:val="0000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3702</Words>
  <Characters>3789</Characters>
  <Lines>0</Lines>
  <Paragraphs>0</Paragraphs>
  <TotalTime>13</TotalTime>
  <ScaleCrop>false</ScaleCrop>
  <LinksUpToDate>false</LinksUpToDate>
  <CharactersWithSpaces>4158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Lenovo</cp:lastModifiedBy>
  <dcterms:modified xsi:type="dcterms:W3CDTF">2025-11-05T03:17:13Z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95ABF6C3EF20404DA69354A85DA11AF5_13</vt:lpwstr>
  </property>
</Properties>
</file>