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515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817"/>
        <w:gridCol w:w="5190"/>
        <w:gridCol w:w="89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33" w:type="pct"/>
            <w:vAlign w:val="center"/>
          </w:tcPr>
          <w:p w14:paraId="03862FB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商务条款</w:t>
            </w:r>
          </w:p>
        </w:tc>
        <w:tc>
          <w:tcPr>
            <w:tcW w:w="2950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招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  <w:t>标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0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33" w:type="pct"/>
            <w:vAlign w:val="center"/>
          </w:tcPr>
          <w:p w14:paraId="524CB7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售后服务要求</w:t>
            </w:r>
          </w:p>
        </w:tc>
        <w:tc>
          <w:tcPr>
            <w:tcW w:w="2950" w:type="pct"/>
            <w:vAlign w:val="center"/>
          </w:tcPr>
          <w:p w14:paraId="4BE4B4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 xml:space="preserve">①每年不少于1次的仪器巡检。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②设备到货后，供应商负责安装和调试。设备安装调试期间，由供应商工程师在现场为采购人操作人员进行培训，受培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与支持。以上要求所产生的费用由供应商承担。 </w:t>
            </w:r>
          </w:p>
        </w:tc>
        <w:tc>
          <w:tcPr>
            <w:tcW w:w="50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09D5D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507" w:type="pct"/>
            <w:vAlign w:val="center"/>
          </w:tcPr>
          <w:p w14:paraId="19B570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033" w:type="pct"/>
            <w:vAlign w:val="center"/>
          </w:tcPr>
          <w:p w14:paraId="360C1E3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2950" w:type="pct"/>
            <w:vAlign w:val="center"/>
          </w:tcPr>
          <w:p w14:paraId="5C6BB35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即时响应（包括电话响应）；电话响应无法解决时，24小时内到达现场。修复时间48小时内；如48小时内无法修复，应提供相应解决方案。</w:t>
            </w:r>
          </w:p>
        </w:tc>
        <w:tc>
          <w:tcPr>
            <w:tcW w:w="508" w:type="pct"/>
          </w:tcPr>
          <w:p w14:paraId="67FE6A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7EDF3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07" w:type="pct"/>
            <w:vAlign w:val="center"/>
          </w:tcPr>
          <w:p w14:paraId="7E9E29B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033" w:type="pct"/>
            <w:vAlign w:val="center"/>
          </w:tcPr>
          <w:p w14:paraId="05F014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950" w:type="pct"/>
            <w:vAlign w:val="center"/>
          </w:tcPr>
          <w:p w14:paraId="165932A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货物（进口设备国内供货）：合同生效后，乙方开具合同金额等额银行保函，甲方收到银行保函正本后预付合同货款，待货物到达指定地点、安装调试验收合格后，采购人退还银行保函正本；②进口货物：合同生效后，由甲方通过进出口业务代理公司向乙方开出100%信用证，待货物到货、安装调试、并经学校组织验收合格后，由甲方通知进出口业务代理公司向乙方解付。</w:t>
            </w:r>
          </w:p>
        </w:tc>
        <w:tc>
          <w:tcPr>
            <w:tcW w:w="508" w:type="pct"/>
          </w:tcPr>
          <w:p w14:paraId="3F37B62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49869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507" w:type="pct"/>
            <w:vAlign w:val="center"/>
          </w:tcPr>
          <w:p w14:paraId="0E99FB9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33" w:type="pct"/>
            <w:vAlign w:val="center"/>
          </w:tcPr>
          <w:p w14:paraId="57AF73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其他要求</w:t>
            </w:r>
          </w:p>
        </w:tc>
        <w:tc>
          <w:tcPr>
            <w:tcW w:w="2950" w:type="pct"/>
            <w:vAlign w:val="center"/>
          </w:tcPr>
          <w:p w14:paraId="0EAC0C9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供应商应按用户需求进行实验室改造，根据现场环境购置包括隔断、温湿度仪、电路、气瓶、桌台、万向罩，满足仪器正常使用的环境要求。</w:t>
            </w:r>
          </w:p>
        </w:tc>
        <w:tc>
          <w:tcPr>
            <w:tcW w:w="508" w:type="pct"/>
          </w:tcPr>
          <w:p w14:paraId="025483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3BFC9AB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>
      <w:bookmarkStart w:id="0" w:name="_GoBack"/>
      <w:bookmarkEnd w:id="0"/>
    </w:p>
    <w:p w14:paraId="6272B3D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</w:p>
    <w:p w14:paraId="4B71B3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snapToGrid/>
          <w:kern w:val="0"/>
          <w:sz w:val="20"/>
          <w:szCs w:val="20"/>
          <w:lang w:val="en-US" w:eastAsia="zh-CN"/>
        </w:rPr>
        <w:t>供应商：（盖公章）</w:t>
      </w:r>
    </w:p>
    <w:p w14:paraId="6616F3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339443F"/>
    <w:rsid w:val="187C568A"/>
    <w:rsid w:val="3FF9428E"/>
    <w:rsid w:val="48417488"/>
    <w:rsid w:val="5481728A"/>
    <w:rsid w:val="5AA338DD"/>
    <w:rsid w:val="603D5171"/>
    <w:rsid w:val="6252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596</Characters>
  <Lines>0</Lines>
  <Paragraphs>0</Paragraphs>
  <TotalTime>0</TotalTime>
  <ScaleCrop>false</ScaleCrop>
  <LinksUpToDate>false</LinksUpToDate>
  <CharactersWithSpaces>602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2025-11-04T09:19:10Z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