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版本号：DQB-2025082-CS20251104001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陕西机场公安局执法记录仪采购及智能执法视音频管理平台建设项目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DQB-2025082-CS</w:t>
      </w:r>
      <w:r>
        <w:br/>
      </w:r>
      <w:r>
        <w:br/>
      </w:r>
      <w:r>
        <w:br/>
      </w:r>
    </w:p>
    <w:p>
      <w:pPr>
        <w:pStyle w:val="null3"/>
        <w:jc w:val="center"/>
        <w:outlineLvl w:val="2"/>
      </w:pPr>
      <w:r>
        <w:rPr>
          <w:rFonts w:ascii="仿宋_GB2312" w:hAnsi="仿宋_GB2312" w:cs="仿宋_GB2312" w:eastAsia="仿宋_GB2312"/>
          <w:sz w:val="28"/>
          <w:b/>
        </w:rPr>
        <w:t>陕西省公安厅机场公安局</w:t>
      </w:r>
    </w:p>
    <w:p>
      <w:pPr>
        <w:pStyle w:val="null3"/>
        <w:jc w:val="center"/>
        <w:outlineLvl w:val="2"/>
      </w:pPr>
      <w:r>
        <w:rPr>
          <w:rFonts w:ascii="仿宋_GB2312" w:hAnsi="仿宋_GB2312" w:cs="仿宋_GB2312" w:eastAsia="仿宋_GB2312"/>
          <w:sz w:val="28"/>
          <w:b/>
        </w:rPr>
        <w:t>陕西德勤招标有限公司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陕西德勤招标有限公司</w:t>
      </w:r>
      <w:r>
        <w:rPr>
          <w:rFonts w:ascii="仿宋_GB2312" w:hAnsi="仿宋_GB2312" w:cs="仿宋_GB2312" w:eastAsia="仿宋_GB2312"/>
        </w:rPr>
        <w:t>（以下简称“代理机构”）受</w:t>
      </w:r>
      <w:r>
        <w:rPr>
          <w:rFonts w:ascii="仿宋_GB2312" w:hAnsi="仿宋_GB2312" w:cs="仿宋_GB2312" w:eastAsia="仿宋_GB2312"/>
        </w:rPr>
        <w:t>陕西省公安厅机场公安局</w:t>
      </w:r>
      <w:r>
        <w:rPr>
          <w:rFonts w:ascii="仿宋_GB2312" w:hAnsi="仿宋_GB2312" w:cs="仿宋_GB2312" w:eastAsia="仿宋_GB2312"/>
        </w:rPr>
        <w:t>委托，拟对</w:t>
      </w:r>
      <w:r>
        <w:rPr>
          <w:rFonts w:ascii="仿宋_GB2312" w:hAnsi="仿宋_GB2312" w:cs="仿宋_GB2312" w:eastAsia="仿宋_GB2312"/>
        </w:rPr>
        <w:t>陕西机场公安局执法记录仪采购及智能执法视音频管理平台建设项目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DQB-2025082-CS</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陕西机场公安局执法记录仪采购及智能执法视音频管理平台建设项目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陕西机场公安局执法记录仪采购及智能执法视音频管理平台建设项目。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1、营业执照等主体资格证明文件：提供企业营业执照/事业单位法人证书/专业服务机构执业许可证/民办非企业单位登记证书。</w:t>
      </w:r>
    </w:p>
    <w:p>
      <w:pPr>
        <w:pStyle w:val="null3"/>
      </w:pPr>
      <w:r>
        <w:rPr>
          <w:rFonts w:ascii="仿宋_GB2312" w:hAnsi="仿宋_GB2312" w:cs="仿宋_GB2312" w:eastAsia="仿宋_GB2312"/>
        </w:rPr>
        <w:t>2、财务状况报告：财务状况报告：提供2024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3、书面声明：提供书面声明，包括声明具有履行合同所必需的设备和专业技术能力；未为本项目提供整体设计、规范编制或者项目管理、监理、检测等服务。</w:t>
      </w:r>
    </w:p>
    <w:p>
      <w:pPr>
        <w:pStyle w:val="null3"/>
      </w:pPr>
      <w:r>
        <w:rPr>
          <w:rFonts w:ascii="仿宋_GB2312" w:hAnsi="仿宋_GB2312" w:cs="仿宋_GB2312" w:eastAsia="仿宋_GB2312"/>
        </w:rPr>
        <w:t>4、社保缴纳证明：提供递交响应文件截止之日前一年内任意一个月的社会保障资金缴存单据或社保机构开具的社会保险参保缴费情况证明。依法不需要缴纳社会保障资金的供应商应提供相关文件证明。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5、税收缴纳证明：提供递交响应文件截止之日前一年内任意一个月的依法缴纳税收的相关凭据，凭据应有税务机关或代收机关的公章或业务专用章。依法免税或无须缴纳税收的供应商，应提供相应证明文件。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6、近三年无重大违法、违纪书面声明：提供《近三年无重大违法、违纪书面声明》</w:t>
      </w:r>
    </w:p>
    <w:p>
      <w:pPr>
        <w:pStyle w:val="null3"/>
      </w:pPr>
      <w:r>
        <w:rPr>
          <w:rFonts w:ascii="仿宋_GB2312" w:hAnsi="仿宋_GB2312" w:cs="仿宋_GB2312" w:eastAsia="仿宋_GB2312"/>
        </w:rPr>
        <w:t>7、信用记录：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p>
      <w:pPr>
        <w:pStyle w:val="null3"/>
      </w:pPr>
      <w:r>
        <w:rPr>
          <w:rFonts w:ascii="仿宋_GB2312" w:hAnsi="仿宋_GB2312" w:cs="仿宋_GB2312" w:eastAsia="仿宋_GB2312"/>
        </w:rPr>
        <w:t>8、控股管理关系：提供直接控股和管理关系清单。若与其他供应商存在单位负责人为同一人或者存在直接控股、管理关系的，则响应无效。</w:t>
      </w:r>
    </w:p>
    <w:p>
      <w:pPr>
        <w:pStyle w:val="null3"/>
      </w:pPr>
      <w:r>
        <w:rPr>
          <w:rFonts w:ascii="仿宋_GB2312" w:hAnsi="仿宋_GB2312" w:cs="仿宋_GB2312" w:eastAsia="仿宋_GB2312"/>
        </w:rPr>
        <w:t>9、法定代表人授权委托书：法定代表人参加磋商的，须提供本人身份证复印件（附在响应文件中）；法定代表人授权他人参加磋商的，须提供法定代表人授权委托书。磋商文件中凡是需要法定代表人盖章之处，非法人单位的负责人均参照执行。 法人的分支机构参与磋商时，除提供《法定代表人授权委托书》、《法定代表人证明书》外，还须同时提供法人给分支机构出具的授权书。</w:t>
      </w:r>
    </w:p>
    <w:p>
      <w:pPr>
        <w:pStyle w:val="null3"/>
      </w:pPr>
      <w:r>
        <w:rPr>
          <w:rFonts w:ascii="仿宋_GB2312" w:hAnsi="仿宋_GB2312" w:cs="仿宋_GB2312" w:eastAsia="仿宋_GB2312"/>
        </w:rPr>
        <w:t>10、本项目不接受联合体磋商，不允许分包：供应商应提供《非联合体不分包磋商声明》，视为独立磋商，不分包。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陕西省公安厅机场公安局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陕西省咸阳市渭城区空港东一路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陕西省公安厅机场公安局经办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029-87680153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陕西德勤招标有限公司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丈八一路汇鑫中心D座2206室陕西德勤招标有限公司</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李浩、姜仕路、李维婧、李寅辰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17609213480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采购包1：1,193,000.00元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采购包1保证金金额：23,000.00元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开户名称：陕西德勤招标有限公司</w:t>
            </w:r>
          </w:p>
          <w:p>
            <w:pPr>
              <w:pStyle w:val="null3"/>
            </w:pPr>
            <w:r>
              <w:rPr>
                <w:rFonts w:ascii="仿宋_GB2312" w:hAnsi="仿宋_GB2312" w:cs="仿宋_GB2312" w:eastAsia="仿宋_GB2312"/>
              </w:rPr>
              <w:t>开户银行：光大银行西安丈八东路支行</w:t>
            </w:r>
          </w:p>
          <w:p>
            <w:pPr>
              <w:pStyle w:val="null3"/>
            </w:pPr>
            <w:r>
              <w:rPr>
                <w:rFonts w:ascii="仿宋_GB2312" w:hAnsi="仿宋_GB2312" w:cs="仿宋_GB2312" w:eastAsia="仿宋_GB2312"/>
              </w:rPr>
              <w:t>银行账号：52880188000143733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代理服务费收费标准：成交金额100万元以下，费率1.5%，成交金额100～500万元，费率1.1%，采购代理服务费收费按差额定率累进法计算。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陕西省公安厅机场公安局</w:t>
      </w:r>
      <w:r>
        <w:rPr>
          <w:rFonts w:ascii="仿宋_GB2312" w:hAnsi="仿宋_GB2312" w:cs="仿宋_GB2312" w:eastAsia="仿宋_GB2312"/>
        </w:rPr>
        <w:t>和</w:t>
      </w:r>
      <w:r>
        <w:rPr>
          <w:rFonts w:ascii="仿宋_GB2312" w:hAnsi="仿宋_GB2312" w:cs="仿宋_GB2312" w:eastAsia="仿宋_GB2312"/>
        </w:rPr>
        <w:t>陕西德勤招标有限公司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陕西省公安厅机场公安局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陕西德勤招标有限公司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陕西省公安厅机场公安局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陕西德勤招标有限公司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详见采购文件及合同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联系人：李浩、姜仕路、李维婧、李寅辰</w:t>
      </w:r>
    </w:p>
    <w:p>
      <w:pPr>
        <w:pStyle w:val="null3"/>
      </w:pPr>
      <w:r>
        <w:rPr>
          <w:rFonts w:ascii="仿宋_GB2312" w:hAnsi="仿宋_GB2312" w:cs="仿宋_GB2312" w:eastAsia="仿宋_GB2312"/>
        </w:rPr>
        <w:t>联系电话：02981169855</w:t>
      </w:r>
    </w:p>
    <w:p>
      <w:pPr>
        <w:pStyle w:val="null3"/>
      </w:pPr>
      <w:r>
        <w:rPr>
          <w:rFonts w:ascii="仿宋_GB2312" w:hAnsi="仿宋_GB2312" w:cs="仿宋_GB2312" w:eastAsia="仿宋_GB2312"/>
        </w:rPr>
        <w:t>地址：陕西省西安市高新区丈八一路1号汇鑫中心D座2206室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陕西机场公安局执法记录仪采购及智能执法视音频管理平台建设项目。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1,193,000.00</w:t>
      </w:r>
    </w:p>
    <w:p>
      <w:pPr>
        <w:pStyle w:val="null3"/>
      </w:pPr>
      <w:r>
        <w:rPr>
          <w:rFonts w:ascii="仿宋_GB2312" w:hAnsi="仿宋_GB2312" w:cs="仿宋_GB2312" w:eastAsia="仿宋_GB2312"/>
        </w:rPr>
        <w:t>采购包最高限价（元）: 1,193,000.00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智能执法视音频管理平台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1,193,000.00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标的名称：智能执法视音频管理平台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0"/>
              <w:jc w:val="both"/>
            </w:pPr>
            <w:r>
              <w:rPr>
                <w:rFonts w:ascii="仿宋_GB2312" w:hAnsi="仿宋_GB2312" w:cs="仿宋_GB2312" w:eastAsia="仿宋_GB2312"/>
                <w:sz w:val="24"/>
              </w:rPr>
              <w:t>一、</w:t>
            </w:r>
            <w:r>
              <w:rPr>
                <w:rFonts w:ascii="仿宋_GB2312" w:hAnsi="仿宋_GB2312" w:cs="仿宋_GB2312" w:eastAsia="仿宋_GB2312"/>
                <w:sz w:val="21"/>
              </w:rPr>
              <w:t>招标参数</w:t>
            </w:r>
          </w:p>
          <w:tbl>
            <w:tblPr>
              <w:tblInd w:type="dxa" w:w="210"/>
              <w:tblBorders>
                <w:top w:val="none" w:color="000000" w:sz="4"/>
                <w:left w:val="none" w:color="000000" w:sz="4"/>
                <w:bottom w:val="none" w:color="000000" w:sz="4"/>
                <w:right w:val="none" w:color="000000" w:sz="4"/>
                <w:insideH w:val="none"/>
                <w:insideV w:val="none"/>
              </w:tblBorders>
            </w:tblPr>
            <w:tblGrid>
              <w:gridCol w:w="176"/>
              <w:gridCol w:w="388"/>
              <w:gridCol w:w="1630"/>
              <w:gridCol w:w="176"/>
              <w:gridCol w:w="176"/>
            </w:tblGrid>
            <w:tr>
              <w:tc>
                <w:tcPr>
                  <w:tcW w:type="dxa" w:w="2546"/>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一</w:t>
                  </w:r>
                  <w:r>
                    <w:rPr>
                      <w:rFonts w:ascii="仿宋_GB2312" w:hAnsi="仿宋_GB2312" w:cs="仿宋_GB2312" w:eastAsia="仿宋_GB2312"/>
                      <w:sz w:val="24"/>
                      <w:b/>
                      <w:color w:val="000000"/>
                    </w:rPr>
                    <w:t>、平台</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3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模块名称</w:t>
                  </w:r>
                </w:p>
              </w:tc>
              <w:tc>
                <w:tcPr>
                  <w:tcW w:type="dxa" w:w="16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技术参数</w:t>
                  </w:r>
                </w:p>
              </w:tc>
              <w:tc>
                <w:tcPr>
                  <w:tcW w:type="dxa" w:w="1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数量</w:t>
                  </w:r>
                </w:p>
              </w:tc>
              <w:tc>
                <w:tcPr>
                  <w:tcW w:type="dxa" w:w="1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单位</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智能执法视音频管理平台</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证据管理软件包，包括证据管理，查询，调阅，统计等功能</w:t>
                  </w:r>
                  <w:r>
                    <w:br/>
                  </w:r>
                  <w:r>
                    <w:rPr>
                      <w:rFonts w:ascii="仿宋_GB2312" w:hAnsi="仿宋_GB2312" w:cs="仿宋_GB2312" w:eastAsia="仿宋_GB2312"/>
                      <w:sz w:val="20"/>
                      <w:color w:val="000000"/>
                    </w:rPr>
                    <w:t>证据查询：选择组织进行组织内证据查询，主要的查询条件包括人员名称、设备</w:t>
                  </w:r>
                  <w:r>
                    <w:rPr>
                      <w:rFonts w:ascii="仿宋_GB2312" w:hAnsi="仿宋_GB2312" w:cs="仿宋_GB2312" w:eastAsia="仿宋_GB2312"/>
                      <w:sz w:val="20"/>
                      <w:color w:val="000000"/>
                    </w:rPr>
                    <w:t>ID、时间、位置、文件类型、证据类别、证据状态、访问类别、归属人、上传者、分类标签、案件编号、审查标签、描述、警员编号等。重点标记的文件又可分为普通文件、业务关联、标注信息、执法仪标记，以此分类归档。同时在权限允许的情况下支持批量删除至回收站功能。</w:t>
                  </w:r>
                  <w:r>
                    <w:br/>
                  </w:r>
                  <w:r>
                    <w:rPr>
                      <w:rFonts w:ascii="仿宋_GB2312" w:hAnsi="仿宋_GB2312" w:cs="仿宋_GB2312" w:eastAsia="仿宋_GB2312"/>
                      <w:sz w:val="20"/>
                      <w:color w:val="000000"/>
                    </w:rPr>
                    <w:t>多角度回放</w:t>
                  </w:r>
                  <w:r>
                    <w:br/>
                  </w:r>
                  <w:r>
                    <w:rPr>
                      <w:rFonts w:ascii="仿宋_GB2312" w:hAnsi="仿宋_GB2312" w:cs="仿宋_GB2312" w:eastAsia="仿宋_GB2312"/>
                      <w:sz w:val="20"/>
                      <w:color w:val="000000"/>
                    </w:rPr>
                    <w:t>在复杂的事件场景中单一的视频来源有时难以还原现场情况，需要多角度、多来源的视频去一起协助。多视角回放可将当前拍摄的视频根据时间和空间两个信息把视频关联起来，以进行多角度回放。</w:t>
                  </w:r>
                  <w:r>
                    <w:br/>
                  </w:r>
                  <w:r>
                    <w:rPr>
                      <w:rFonts w:ascii="仿宋_GB2312" w:hAnsi="仿宋_GB2312" w:cs="仿宋_GB2312" w:eastAsia="仿宋_GB2312"/>
                      <w:sz w:val="20"/>
                      <w:color w:val="000000"/>
                    </w:rPr>
                    <w:t>统计分析模块是将执法记录仪采集的证据进行科学的整理与计算，从而生成一种用户关心的数据形式，并以图文结合的模式展现出来。</w:t>
                  </w:r>
                  <w:r>
                    <w:br/>
                  </w:r>
                  <w:r>
                    <w:rPr>
                      <w:rFonts w:ascii="仿宋_GB2312" w:hAnsi="仿宋_GB2312" w:cs="仿宋_GB2312" w:eastAsia="仿宋_GB2312"/>
                      <w:sz w:val="20"/>
                      <w:color w:val="000000"/>
                    </w:rPr>
                    <w:t>系统支持从以下主要几方面对数据进行分析：</w:t>
                  </w:r>
                  <w:r>
                    <w:br/>
                  </w:r>
                  <w:r>
                    <w:rPr>
                      <w:rFonts w:ascii="仿宋_GB2312" w:hAnsi="仿宋_GB2312" w:cs="仿宋_GB2312" w:eastAsia="仿宋_GB2312"/>
                      <w:sz w:val="20"/>
                      <w:color w:val="000000"/>
                    </w:rPr>
                    <w:t>证据分时统计</w:t>
                  </w:r>
                  <w:r>
                    <w:br/>
                  </w:r>
                  <w:r>
                    <w:rPr>
                      <w:rFonts w:ascii="仿宋_GB2312" w:hAnsi="仿宋_GB2312" w:cs="仿宋_GB2312" w:eastAsia="仿宋_GB2312"/>
                      <w:sz w:val="20"/>
                      <w:color w:val="000000"/>
                    </w:rPr>
                    <w:t>证据分时统计共分两部分</w:t>
                  </w:r>
                  <w:r>
                    <w:rPr>
                      <w:rFonts w:ascii="仿宋_GB2312" w:hAnsi="仿宋_GB2312" w:cs="仿宋_GB2312" w:eastAsia="仿宋_GB2312"/>
                      <w:sz w:val="20"/>
                      <w:color w:val="000000"/>
                    </w:rPr>
                    <w:t>“证据数量统计”、“证据时长统计”。通过这两部分可以清楚看到所选时间段内的证据数量与时长折线图。</w:t>
                  </w:r>
                  <w:r>
                    <w:br/>
                  </w:r>
                  <w:r>
                    <w:rPr>
                      <w:rFonts w:ascii="仿宋_GB2312" w:hAnsi="仿宋_GB2312" w:cs="仿宋_GB2312" w:eastAsia="仿宋_GB2312"/>
                      <w:sz w:val="20"/>
                      <w:color w:val="000000"/>
                    </w:rPr>
                    <w:t>用户证据统计</w:t>
                  </w:r>
                  <w:r>
                    <w:br/>
                  </w:r>
                  <w:r>
                    <w:rPr>
                      <w:rFonts w:ascii="仿宋_GB2312" w:hAnsi="仿宋_GB2312" w:cs="仿宋_GB2312" w:eastAsia="仿宋_GB2312"/>
                      <w:sz w:val="20"/>
                      <w:color w:val="000000"/>
                    </w:rPr>
                    <w:t>在该表格上，清晰展示</w:t>
                  </w:r>
                  <w:r>
                    <w:rPr>
                      <w:rFonts w:ascii="仿宋_GB2312" w:hAnsi="仿宋_GB2312" w:cs="仿宋_GB2312" w:eastAsia="仿宋_GB2312"/>
                      <w:sz w:val="20"/>
                      <w:color w:val="000000"/>
                    </w:rPr>
                    <w:t>“证据总时长”、“视频时长”、“音频时长”、“证据总容量”、“视频容量”、“音频容量”、“照片容量”、“审查证据量”。</w:t>
                  </w:r>
                  <w:r>
                    <w:br/>
                  </w:r>
                  <w:r>
                    <w:rPr>
                      <w:rFonts w:ascii="仿宋_GB2312" w:hAnsi="仿宋_GB2312" w:cs="仿宋_GB2312" w:eastAsia="仿宋_GB2312"/>
                      <w:sz w:val="20"/>
                      <w:color w:val="000000"/>
                    </w:rPr>
                    <w:t>案件统计</w:t>
                  </w:r>
                  <w:r>
                    <w:br/>
                  </w:r>
                  <w:r>
                    <w:rPr>
                      <w:rFonts w:ascii="仿宋_GB2312" w:hAnsi="仿宋_GB2312" w:cs="仿宋_GB2312" w:eastAsia="仿宋_GB2312"/>
                      <w:sz w:val="20"/>
                      <w:color w:val="000000"/>
                    </w:rPr>
                    <w:t>可以选择</w:t>
                  </w:r>
                  <w:r>
                    <w:rPr>
                      <w:rFonts w:ascii="仿宋_GB2312" w:hAnsi="仿宋_GB2312" w:cs="仿宋_GB2312" w:eastAsia="仿宋_GB2312"/>
                      <w:sz w:val="20"/>
                      <w:color w:val="000000"/>
                    </w:rPr>
                    <w:t>“案件统计”、“总览案件”、“共享统计”、“案件下载统计”，进行分类查询。</w:t>
                  </w:r>
                  <w:r>
                    <w:br/>
                  </w:r>
                  <w:r>
                    <w:rPr>
                      <w:rFonts w:ascii="仿宋_GB2312" w:hAnsi="仿宋_GB2312" w:cs="仿宋_GB2312" w:eastAsia="仿宋_GB2312"/>
                      <w:sz w:val="20"/>
                      <w:color w:val="000000"/>
                    </w:rPr>
                    <w:t>用户案件统计</w:t>
                  </w:r>
                  <w:r>
                    <w:br/>
                  </w:r>
                  <w:r>
                    <w:rPr>
                      <w:rFonts w:ascii="仿宋_GB2312" w:hAnsi="仿宋_GB2312" w:cs="仿宋_GB2312" w:eastAsia="仿宋_GB2312"/>
                      <w:sz w:val="20"/>
                      <w:color w:val="000000"/>
                    </w:rPr>
                    <w:t>清晰展示</w:t>
                  </w:r>
                  <w:r>
                    <w:rPr>
                      <w:rFonts w:ascii="仿宋_GB2312" w:hAnsi="仿宋_GB2312" w:cs="仿宋_GB2312" w:eastAsia="仿宋_GB2312"/>
                      <w:sz w:val="20"/>
                      <w:color w:val="000000"/>
                    </w:rPr>
                    <w:t>“警号”、“案件数量”、“证据数量”、“证据总时长”、“证据总容量”、“案件共享数”、“案件下载数”等内容。</w:t>
                  </w:r>
                  <w:r>
                    <w:br/>
                  </w:r>
                  <w:r>
                    <w:rPr>
                      <w:rFonts w:ascii="仿宋_GB2312" w:hAnsi="仿宋_GB2312" w:cs="仿宋_GB2312" w:eastAsia="仿宋_GB2312"/>
                      <w:sz w:val="20"/>
                      <w:color w:val="000000"/>
                    </w:rPr>
                    <w:t>日志审计功能</w:t>
                  </w:r>
                  <w:r>
                    <w:br/>
                  </w:r>
                  <w:r>
                    <w:rPr>
                      <w:rFonts w:ascii="仿宋_GB2312" w:hAnsi="仿宋_GB2312" w:cs="仿宋_GB2312" w:eastAsia="仿宋_GB2312"/>
                      <w:sz w:val="20"/>
                      <w:color w:val="000000"/>
                    </w:rPr>
                    <w:t>用户从登录时间开始，对系统每一步操作都会被记录下来，且记录无法被删除永久保存在系统中。日志可形成有效的辅助审计报告，了解用户日常的活动轨迹，确保证据存储安全，平台可记录终端的操作日志，并将日志进行记录保存，确保规范执法，同时平台支持证据修改日志审计，可针对证据文件查看所有历史编辑操作。</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网络融合服务</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b/>
                      <w:color w:val="000000"/>
                    </w:rPr>
                    <w:t>在跨网安全通道</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安全边界的基础上，融合服务中台在移动信息网部署平台前置服务，同时在公安信息网部署主（后置）服务，以安全交换的方式实现各业务网络的融合贯通，</w:t>
                  </w:r>
                  <w:r>
                    <w:rPr>
                      <w:rFonts w:ascii="仿宋_GB2312" w:hAnsi="仿宋_GB2312" w:cs="仿宋_GB2312" w:eastAsia="仿宋_GB2312"/>
                      <w:sz w:val="20"/>
                      <w:color w:val="000000"/>
                    </w:rPr>
                    <w:t>推送移动警务网执法记录仪平台数据跨边界到公安内网，实现</w:t>
                  </w:r>
                  <w:r>
                    <w:rPr>
                      <w:rFonts w:ascii="仿宋_GB2312" w:hAnsi="仿宋_GB2312" w:cs="仿宋_GB2312" w:eastAsia="仿宋_GB2312"/>
                      <w:sz w:val="20"/>
                      <w:color w:val="000000"/>
                    </w:rPr>
                    <w:t>110接处警的定位上图功能。</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融合通信平台向</w:t>
                  </w:r>
                  <w:r>
                    <w:rPr>
                      <w:rFonts w:ascii="仿宋_GB2312" w:hAnsi="仿宋_GB2312" w:cs="仿宋_GB2312" w:eastAsia="仿宋_GB2312"/>
                      <w:sz w:val="20"/>
                      <w:color w:val="000000"/>
                    </w:rPr>
                    <w:t>110接处警推送定位上图功能定制开发</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0"/>
                      <w:color w:val="000000"/>
                    </w:rPr>
                    <w:t>在遵循公安大数据等公安现有的数据规范基础上，组件化赋能服务应提供</w:t>
                  </w:r>
                  <w:r>
                    <w:rPr>
                      <w:rFonts w:ascii="仿宋_GB2312" w:hAnsi="仿宋_GB2312" w:cs="仿宋_GB2312" w:eastAsia="仿宋_GB2312"/>
                      <w:sz w:val="20"/>
                      <w:color w:val="000000"/>
                    </w:rPr>
                    <w:t>SDK(API/ActiveX/Webservice)等形式北向能力组件，将系统融合后的定位数据转换成标准化数据推送到上层110业务应用系统，提升警务业务应用的效率。</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8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警情精准关联功能定制开发</w:t>
                  </w:r>
                </w:p>
              </w:tc>
              <w:tc>
                <w:tcPr>
                  <w:tcW w:type="dxa" w:w="163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通过</w:t>
                  </w:r>
                  <w:r>
                    <w:rPr>
                      <w:rFonts w:ascii="仿宋_GB2312" w:hAnsi="仿宋_GB2312" w:cs="仿宋_GB2312" w:eastAsia="仿宋_GB2312"/>
                      <w:sz w:val="21"/>
                      <w:b/>
                      <w:color w:val="000000"/>
                    </w:rPr>
                    <w:t>NFC</w:t>
                  </w:r>
                  <w:r>
                    <w:rPr>
                      <w:rFonts w:ascii="仿宋_GB2312" w:hAnsi="仿宋_GB2312" w:cs="仿宋_GB2312" w:eastAsia="仿宋_GB2312"/>
                      <w:sz w:val="21"/>
                      <w:b/>
                      <w:color w:val="000000"/>
                    </w:rPr>
                    <w:t>（近场通信）技术模式，实现执法音视频记录与指挥调度平台下发的警情任务之间的一键式、零误差、全自动关联，解决传统手动输入效率低下、易出错的管理痛点，确保了执法数据从产生、传输到归档的全流程精准性与可溯性。</w:t>
                  </w:r>
                  <w:r>
                    <w:br/>
                  </w:r>
                  <w:r>
                    <w:rPr>
                      <w:rFonts w:ascii="仿宋_GB2312" w:hAnsi="仿宋_GB2312" w:cs="仿宋_GB2312" w:eastAsia="仿宋_GB2312"/>
                      <w:sz w:val="21"/>
                    </w:rPr>
                    <w:t>▲</w:t>
                  </w:r>
                  <w:r>
                    <w:rPr>
                      <w:rFonts w:ascii="仿宋_GB2312" w:hAnsi="仿宋_GB2312" w:cs="仿宋_GB2312" w:eastAsia="仿宋_GB2312"/>
                      <w:sz w:val="20"/>
                      <w:color w:val="000000"/>
                    </w:rPr>
                    <w:t>针对执法记录仪无法接收综合应用平台下发的警情信息的情况，推荐优先采用</w:t>
                  </w:r>
                  <w:r>
                    <w:rPr>
                      <w:rFonts w:ascii="仿宋_GB2312" w:hAnsi="仿宋_GB2312" w:cs="仿宋_GB2312" w:eastAsia="仿宋_GB2312"/>
                      <w:sz w:val="20"/>
                      <w:color w:val="000000"/>
                    </w:rPr>
                    <w:t>NFC警情关联证据的方式，在一线民警接到指挥中心（或通过接处警APP接收到）的警情指令后，赶赴现场前或处置过程中，需要将本次执法行动与具体的警情案件编号绑定。传统方式是手动在警务通上输入一长串数字字母组合的警情单号，繁琐且易错。而通过NFC“碰一碰”功能，实现了信息的秒级、无误传递。</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388"/>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110接处警图上处警扩展</w:t>
                  </w:r>
                </w:p>
              </w:tc>
              <w:tc>
                <w:tcPr>
                  <w:tcW w:type="dxa" w:w="1630"/>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b/>
                      <w:color w:val="000000"/>
                    </w:rPr>
                    <w:t>处警软件扩展模块，实现图上警力、警情撒点展示、图上派警、地图基本工具</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图层查询、周边查询、点线面标绘、测距测面等</w:t>
                  </w:r>
                  <w:r>
                    <w:rPr>
                      <w:rFonts w:ascii="仿宋_GB2312" w:hAnsi="仿宋_GB2312" w:cs="仿宋_GB2312" w:eastAsia="仿宋_GB2312"/>
                      <w:sz w:val="21"/>
                      <w:b/>
                      <w:color w:val="000000"/>
                    </w:rPr>
                    <w:t>)</w:t>
                  </w:r>
                  <w:r>
                    <w:br/>
                  </w:r>
                  <w:r>
                    <w:rPr>
                      <w:rFonts w:ascii="仿宋_GB2312" w:hAnsi="仿宋_GB2312" w:cs="仿宋_GB2312" w:eastAsia="仿宋_GB2312"/>
                      <w:sz w:val="20"/>
                      <w:color w:val="000000"/>
                    </w:rPr>
                    <w:t>对接警情，展示接警表单信息，基于坐标上图，警情带坐标信息，地图自动展示并定位到该警情图标。</w:t>
                  </w:r>
                  <w:r>
                    <w:br/>
                  </w:r>
                  <w:r>
                    <w:rPr>
                      <w:rFonts w:ascii="仿宋_GB2312" w:hAnsi="仿宋_GB2312" w:cs="仿宋_GB2312" w:eastAsia="仿宋_GB2312"/>
                      <w:sz w:val="20"/>
                      <w:color w:val="000000"/>
                    </w:rPr>
                    <w:t>基于警情地址上图，若无坐标信息，则以案发地址来与地址库匹配，在图上定位当前警情。</w:t>
                  </w:r>
                  <w:r>
                    <w:br/>
                  </w:r>
                  <w:r>
                    <w:rPr>
                      <w:rFonts w:ascii="仿宋_GB2312" w:hAnsi="仿宋_GB2312" w:cs="仿宋_GB2312" w:eastAsia="仿宋_GB2312"/>
                      <w:sz w:val="20"/>
                      <w:color w:val="000000"/>
                    </w:rPr>
                    <w:t>警情分类上图展示，针对不同类型的警情以不同类型的图标进行上图展示</w:t>
                  </w:r>
                  <w:r>
                    <w:br/>
                  </w:r>
                  <w:r>
                    <w:rPr>
                      <w:rFonts w:ascii="仿宋_GB2312" w:hAnsi="仿宋_GB2312" w:cs="仿宋_GB2312" w:eastAsia="仿宋_GB2312"/>
                      <w:sz w:val="20"/>
                      <w:color w:val="000000"/>
                    </w:rPr>
                    <w:t>警情状态上图展示，针对不同状态的警情以不同颜色的图标进行上图展示</w:t>
                  </w:r>
                  <w:r>
                    <w:br/>
                  </w:r>
                  <w:r>
                    <w:rPr>
                      <w:rFonts w:ascii="仿宋_GB2312" w:hAnsi="仿宋_GB2312" w:cs="仿宋_GB2312" w:eastAsia="仿宋_GB2312"/>
                      <w:sz w:val="20"/>
                      <w:color w:val="000000"/>
                    </w:rPr>
                    <w:t>图上警情处置，在警情详细气泡框上可以一键发起警情处置</w:t>
                  </w:r>
                  <w:r>
                    <w:br/>
                  </w:r>
                  <w:r>
                    <w:rPr>
                      <w:rFonts w:ascii="仿宋_GB2312" w:hAnsi="仿宋_GB2312" w:cs="仿宋_GB2312" w:eastAsia="仿宋_GB2312"/>
                      <w:sz w:val="20"/>
                      <w:color w:val="000000"/>
                    </w:rPr>
                    <w:t>警情打点二次定位，在警情处置界面可手动打点完成警单二次定位</w:t>
                  </w:r>
                  <w:r>
                    <w:br/>
                  </w:r>
                  <w:r>
                    <w:rPr>
                      <w:rFonts w:ascii="仿宋_GB2312" w:hAnsi="仿宋_GB2312" w:cs="仿宋_GB2312" w:eastAsia="仿宋_GB2312"/>
                      <w:sz w:val="20"/>
                      <w:color w:val="000000"/>
                    </w:rPr>
                    <w:t>警情地址二次定位，在警情处置界面可手动选择匹配地址来完成警单二次定位</w:t>
                  </w:r>
                  <w:r>
                    <w:br/>
                  </w:r>
                  <w:r>
                    <w:rPr>
                      <w:rFonts w:ascii="仿宋_GB2312" w:hAnsi="仿宋_GB2312" w:cs="仿宋_GB2312" w:eastAsia="仿宋_GB2312"/>
                      <w:sz w:val="20"/>
                      <w:color w:val="000000"/>
                    </w:rPr>
                    <w:t>单位调派，支持向单位进行派警，被调派单位可以收到派警消息。</w:t>
                  </w:r>
                  <w:r>
                    <w:br/>
                  </w:r>
                  <w:r>
                    <w:rPr>
                      <w:rFonts w:ascii="仿宋_GB2312" w:hAnsi="仿宋_GB2312" w:cs="仿宋_GB2312" w:eastAsia="仿宋_GB2312"/>
                      <w:sz w:val="20"/>
                      <w:color w:val="000000"/>
                    </w:rPr>
                    <w:t>单位处警状态</w:t>
                  </w:r>
                  <w:r>
                    <w:rPr>
                      <w:rFonts w:ascii="仿宋_GB2312" w:hAnsi="仿宋_GB2312" w:cs="仿宋_GB2312" w:eastAsia="仿宋_GB2312"/>
                      <w:sz w:val="20"/>
                      <w:color w:val="000000"/>
                    </w:rPr>
                    <w:t>查看</w:t>
                  </w:r>
                  <w:r>
                    <w:rPr>
                      <w:rFonts w:ascii="仿宋_GB2312" w:hAnsi="仿宋_GB2312" w:cs="仿宋_GB2312" w:eastAsia="仿宋_GB2312"/>
                      <w:sz w:val="20"/>
                      <w:color w:val="000000"/>
                    </w:rPr>
                    <w:t>，系统可对调派单位签收、到场、反馈等处警状态进行实时跟踪展示。</w:t>
                  </w:r>
                  <w:r>
                    <w:br/>
                  </w:r>
                  <w:r>
                    <w:rPr>
                      <w:rFonts w:ascii="仿宋_GB2312" w:hAnsi="仿宋_GB2312" w:cs="仿宋_GB2312" w:eastAsia="仿宋_GB2312"/>
                      <w:sz w:val="20"/>
                      <w:color w:val="000000"/>
                    </w:rPr>
                    <w:t>单兵调派，支持向单兵进行派警，被调派单兵可以收到派警消息。</w:t>
                  </w:r>
                  <w:r>
                    <w:br/>
                  </w:r>
                  <w:r>
                    <w:rPr>
                      <w:rFonts w:ascii="仿宋_GB2312" w:hAnsi="仿宋_GB2312" w:cs="仿宋_GB2312" w:eastAsia="仿宋_GB2312"/>
                      <w:sz w:val="20"/>
                      <w:color w:val="000000"/>
                    </w:rPr>
                    <w:t>单兵处警状态</w:t>
                  </w:r>
                  <w:r>
                    <w:rPr>
                      <w:rFonts w:ascii="仿宋_GB2312" w:hAnsi="仿宋_GB2312" w:cs="仿宋_GB2312" w:eastAsia="仿宋_GB2312"/>
                      <w:sz w:val="20"/>
                      <w:color w:val="000000"/>
                    </w:rPr>
                    <w:t>查看</w:t>
                  </w:r>
                  <w:r>
                    <w:rPr>
                      <w:rFonts w:ascii="仿宋_GB2312" w:hAnsi="仿宋_GB2312" w:cs="仿宋_GB2312" w:eastAsia="仿宋_GB2312"/>
                      <w:sz w:val="20"/>
                      <w:color w:val="000000"/>
                    </w:rPr>
                    <w:t>，系统可对调派民警的签收、到场、反馈等处警状态进行实时跟踪展示。</w:t>
                  </w:r>
                  <w:r>
                    <w:br/>
                  </w:r>
                  <w:r>
                    <w:rPr>
                      <w:rFonts w:ascii="仿宋_GB2312" w:hAnsi="仿宋_GB2312" w:cs="仿宋_GB2312" w:eastAsia="仿宋_GB2312"/>
                      <w:sz w:val="20"/>
                      <w:color w:val="000000"/>
                    </w:rPr>
                    <w:t>呼叫单位，针对已调派的处警单位，可以一键呼叫该单位的组号，以便进行处警调度。</w:t>
                  </w:r>
                  <w:r>
                    <w:br/>
                  </w:r>
                  <w:r>
                    <w:rPr>
                      <w:rFonts w:ascii="仿宋_GB2312" w:hAnsi="仿宋_GB2312" w:cs="仿宋_GB2312" w:eastAsia="仿宋_GB2312"/>
                      <w:sz w:val="20"/>
                      <w:color w:val="000000"/>
                    </w:rPr>
                    <w:t>呼叫单兵，针对已调派的处警单位，可以一键呼叫该单兵的终端，以便进行处警调度。</w:t>
                  </w:r>
                  <w:r>
                    <w:br/>
                  </w:r>
                  <w:r>
                    <w:rPr>
                      <w:rFonts w:ascii="仿宋_GB2312" w:hAnsi="仿宋_GB2312" w:cs="仿宋_GB2312" w:eastAsia="仿宋_GB2312"/>
                      <w:sz w:val="20"/>
                      <w:color w:val="000000"/>
                    </w:rPr>
                    <w:t>群组呼叫，可以针对多个处警单元发起群组呼叫</w:t>
                  </w:r>
                  <w:r>
                    <w:br/>
                  </w:r>
                  <w:r>
                    <w:rPr>
                      <w:rFonts w:ascii="仿宋_GB2312" w:hAnsi="仿宋_GB2312" w:cs="仿宋_GB2312" w:eastAsia="仿宋_GB2312"/>
                      <w:sz w:val="20"/>
                      <w:color w:val="000000"/>
                    </w:rPr>
                    <w:t>撤销调派单位，对于已调派的单位可撤销调派。</w:t>
                  </w:r>
                  <w:r>
                    <w:br/>
                  </w:r>
                  <w:r>
                    <w:rPr>
                      <w:rFonts w:ascii="仿宋_GB2312" w:hAnsi="仿宋_GB2312" w:cs="仿宋_GB2312" w:eastAsia="仿宋_GB2312"/>
                      <w:sz w:val="20"/>
                      <w:color w:val="000000"/>
                    </w:rPr>
                    <w:t>撤销调派单兵，对于已调派的单兵可撤销调派。</w:t>
                  </w:r>
                  <w:r>
                    <w:br/>
                  </w:r>
                  <w:r>
                    <w:rPr>
                      <w:rFonts w:ascii="仿宋_GB2312" w:hAnsi="仿宋_GB2312" w:cs="仿宋_GB2312" w:eastAsia="仿宋_GB2312"/>
                      <w:sz w:val="20"/>
                      <w:color w:val="000000"/>
                    </w:rPr>
                    <w:t>单位改派，针对已调派的处警单位，可以进行改派。</w:t>
                  </w:r>
                  <w:r>
                    <w:br/>
                  </w:r>
                  <w:r>
                    <w:rPr>
                      <w:rFonts w:ascii="仿宋_GB2312" w:hAnsi="仿宋_GB2312" w:cs="仿宋_GB2312" w:eastAsia="仿宋_GB2312"/>
                      <w:sz w:val="20"/>
                      <w:color w:val="000000"/>
                    </w:rPr>
                    <w:t>单兵改派，针对已调派的处警单兵，可以进行改派。</w:t>
                  </w:r>
                  <w:r>
                    <w:br/>
                  </w:r>
                  <w:r>
                    <w:rPr>
                      <w:rFonts w:ascii="仿宋_GB2312" w:hAnsi="仿宋_GB2312" w:cs="仿宋_GB2312" w:eastAsia="仿宋_GB2312"/>
                      <w:sz w:val="20"/>
                      <w:color w:val="000000"/>
                    </w:rPr>
                    <w:t>单位增派，警情处置过程中可新增调派单位前往增援。</w:t>
                  </w:r>
                  <w:r>
                    <w:br/>
                  </w:r>
                  <w:r>
                    <w:rPr>
                      <w:rFonts w:ascii="仿宋_GB2312" w:hAnsi="仿宋_GB2312" w:cs="仿宋_GB2312" w:eastAsia="仿宋_GB2312"/>
                      <w:sz w:val="20"/>
                      <w:color w:val="000000"/>
                    </w:rPr>
                    <w:t>单兵增派，警情处置过程中可新增调派单兵前往增援。</w:t>
                  </w:r>
                  <w:r>
                    <w:br/>
                  </w:r>
                  <w:r>
                    <w:rPr>
                      <w:rFonts w:ascii="仿宋_GB2312" w:hAnsi="仿宋_GB2312" w:cs="仿宋_GB2312" w:eastAsia="仿宋_GB2312"/>
                      <w:sz w:val="20"/>
                      <w:color w:val="000000"/>
                    </w:rPr>
                    <w:t>单兵退单，对于非本人处警的警情，发起退单申请给调派单位，由调派单位对退单申请进行审核。</w:t>
                  </w:r>
                  <w:r>
                    <w:br/>
                  </w:r>
                  <w:r>
                    <w:rPr>
                      <w:rFonts w:ascii="仿宋_GB2312" w:hAnsi="仿宋_GB2312" w:cs="仿宋_GB2312" w:eastAsia="仿宋_GB2312"/>
                      <w:sz w:val="20"/>
                      <w:color w:val="000000"/>
                    </w:rPr>
                    <w:t>退单提醒，调派单位收到退单申请后自动进行系统消息提醒。</w:t>
                  </w:r>
                  <w:r>
                    <w:br/>
                  </w:r>
                  <w:r>
                    <w:rPr>
                      <w:rFonts w:ascii="仿宋_GB2312" w:hAnsi="仿宋_GB2312" w:cs="仿宋_GB2312" w:eastAsia="仿宋_GB2312"/>
                      <w:sz w:val="20"/>
                      <w:color w:val="000000"/>
                    </w:rPr>
                    <w:t>到达反馈，处警民警到达现场后进行到场反馈。</w:t>
                  </w:r>
                  <w:r>
                    <w:br/>
                  </w:r>
                  <w:r>
                    <w:rPr>
                      <w:rFonts w:ascii="仿宋_GB2312" w:hAnsi="仿宋_GB2312" w:cs="仿宋_GB2312" w:eastAsia="仿宋_GB2312"/>
                      <w:sz w:val="20"/>
                      <w:color w:val="000000"/>
                    </w:rPr>
                    <w:t>过程反馈，处警民警在处置过程中可以进行过程反馈。</w:t>
                  </w:r>
                  <w:r>
                    <w:br/>
                  </w:r>
                  <w:r>
                    <w:rPr>
                      <w:rFonts w:ascii="仿宋_GB2312" w:hAnsi="仿宋_GB2312" w:cs="仿宋_GB2312" w:eastAsia="仿宋_GB2312"/>
                      <w:sz w:val="20"/>
                      <w:color w:val="000000"/>
                    </w:rPr>
                    <w:t>处警情况反馈，现场处置完成后，民警进行现场完成反馈。</w:t>
                  </w:r>
                  <w:r>
                    <w:br/>
                  </w:r>
                  <w:r>
                    <w:rPr>
                      <w:rFonts w:ascii="仿宋_GB2312" w:hAnsi="仿宋_GB2312" w:cs="仿宋_GB2312" w:eastAsia="仿宋_GB2312"/>
                      <w:sz w:val="20"/>
                      <w:color w:val="000000"/>
                    </w:rPr>
                    <w:t>涉警人员信息，涉警人员反馈，可以通过处警平台进行涉警人员信息采集填写。</w:t>
                  </w:r>
                  <w:r>
                    <w:br/>
                  </w:r>
                  <w:r>
                    <w:rPr>
                      <w:rFonts w:ascii="仿宋_GB2312" w:hAnsi="仿宋_GB2312" w:cs="仿宋_GB2312" w:eastAsia="仿宋_GB2312"/>
                      <w:sz w:val="20"/>
                      <w:color w:val="000000"/>
                    </w:rPr>
                    <w:t>涉警车辆反馈，可以通过处警平台进行涉警车辆信息采集填写。</w:t>
                  </w:r>
                  <w:r>
                    <w:br/>
                  </w:r>
                  <w:r>
                    <w:rPr>
                      <w:rFonts w:ascii="仿宋_GB2312" w:hAnsi="仿宋_GB2312" w:cs="仿宋_GB2312" w:eastAsia="仿宋_GB2312"/>
                      <w:sz w:val="20"/>
                      <w:color w:val="000000"/>
                    </w:rPr>
                    <w:t>现场视频反馈，可以通过处警平台上传处警现场视频。</w:t>
                  </w:r>
                  <w:r>
                    <w:br/>
                  </w:r>
                  <w:r>
                    <w:rPr>
                      <w:rFonts w:ascii="仿宋_GB2312" w:hAnsi="仿宋_GB2312" w:cs="仿宋_GB2312" w:eastAsia="仿宋_GB2312"/>
                      <w:sz w:val="20"/>
                      <w:color w:val="000000"/>
                    </w:rPr>
                    <w:t>现场图片反馈，可以通过处警平台上传处警现场图片。</w:t>
                  </w:r>
                  <w:r>
                    <w:br/>
                  </w:r>
                  <w:r>
                    <w:rPr>
                      <w:rFonts w:ascii="仿宋_GB2312" w:hAnsi="仿宋_GB2312" w:cs="仿宋_GB2312" w:eastAsia="仿宋_GB2312"/>
                      <w:sz w:val="20"/>
                      <w:color w:val="000000"/>
                    </w:rPr>
                    <w:t>现场录音反馈，可以通过处警平台上传处警现场录音。</w:t>
                  </w:r>
                  <w:r>
                    <w:br/>
                  </w:r>
                  <w:r>
                    <w:rPr>
                      <w:rFonts w:ascii="仿宋_GB2312" w:hAnsi="仿宋_GB2312" w:cs="仿宋_GB2312" w:eastAsia="仿宋_GB2312"/>
                      <w:sz w:val="20"/>
                      <w:color w:val="000000"/>
                    </w:rPr>
                    <w:t>处置完毕反馈，警情全部处置完成后进行处置完毕反馈。</w:t>
                  </w:r>
                  <w:r>
                    <w:br/>
                  </w:r>
                  <w:r>
                    <w:rPr>
                      <w:rFonts w:ascii="仿宋_GB2312" w:hAnsi="仿宋_GB2312" w:cs="仿宋_GB2312" w:eastAsia="仿宋_GB2312"/>
                      <w:sz w:val="20"/>
                      <w:color w:val="000000"/>
                    </w:rPr>
                    <w:t>反馈单模板，根据不同的警情类型可以切换不同的反馈单模板。</w:t>
                  </w:r>
                  <w:r>
                    <w:br/>
                  </w:r>
                  <w:r>
                    <w:rPr>
                      <w:rFonts w:ascii="仿宋_GB2312" w:hAnsi="仿宋_GB2312" w:cs="仿宋_GB2312" w:eastAsia="仿宋_GB2312"/>
                      <w:sz w:val="20"/>
                      <w:color w:val="000000"/>
                    </w:rPr>
                    <w:t>单位内移交，针对需要本单位其他人员处置的警情可以快速将警单移交给对应的人员。</w:t>
                  </w:r>
                  <w:r>
                    <w:br/>
                  </w:r>
                  <w:r>
                    <w:rPr>
                      <w:rFonts w:ascii="仿宋_GB2312" w:hAnsi="仿宋_GB2312" w:cs="仿宋_GB2312" w:eastAsia="仿宋_GB2312"/>
                      <w:sz w:val="20"/>
                      <w:color w:val="000000"/>
                    </w:rPr>
                    <w:t>反馈视频查看，可以在时间轴上查看回放反馈的现场视频。</w:t>
                  </w:r>
                  <w:r>
                    <w:br/>
                  </w:r>
                  <w:r>
                    <w:rPr>
                      <w:rFonts w:ascii="仿宋_GB2312" w:hAnsi="仿宋_GB2312" w:cs="仿宋_GB2312" w:eastAsia="仿宋_GB2312"/>
                      <w:sz w:val="20"/>
                      <w:color w:val="000000"/>
                    </w:rPr>
                    <w:t>反馈图片查看，可以在时间轴上查看反馈的现场图片。</w:t>
                  </w:r>
                  <w:r>
                    <w:br/>
                  </w:r>
                  <w:r>
                    <w:rPr>
                      <w:rFonts w:ascii="仿宋_GB2312" w:hAnsi="仿宋_GB2312" w:cs="仿宋_GB2312" w:eastAsia="仿宋_GB2312"/>
                      <w:sz w:val="20"/>
                      <w:color w:val="000000"/>
                    </w:rPr>
                    <w:t>反馈录音查看，可以在时间轴上查看回放反馈的现场录音。</w:t>
                  </w:r>
                  <w:r>
                    <w:br/>
                  </w:r>
                  <w:r>
                    <w:rPr>
                      <w:rFonts w:ascii="仿宋_GB2312" w:hAnsi="仿宋_GB2312" w:cs="仿宋_GB2312" w:eastAsia="仿宋_GB2312"/>
                      <w:sz w:val="20"/>
                      <w:color w:val="000000"/>
                    </w:rPr>
                    <w:t>反馈终端类型查看，处置反馈后可在流程、时间轴上查看反馈的终端类型。</w:t>
                  </w:r>
                  <w:r>
                    <w:br/>
                  </w:r>
                  <w:r>
                    <w:rPr>
                      <w:rFonts w:ascii="仿宋_GB2312" w:hAnsi="仿宋_GB2312" w:cs="仿宋_GB2312" w:eastAsia="仿宋_GB2312"/>
                      <w:sz w:val="20"/>
                      <w:color w:val="000000"/>
                    </w:rPr>
                    <w:t>处警轨迹查询，可在地图上查看处警民警的轨迹信息。</w:t>
                  </w:r>
                  <w:r>
                    <w:br/>
                  </w:r>
                  <w:r>
                    <w:rPr>
                      <w:rFonts w:ascii="仿宋_GB2312" w:hAnsi="仿宋_GB2312" w:cs="仿宋_GB2312" w:eastAsia="仿宋_GB2312"/>
                      <w:sz w:val="20"/>
                      <w:color w:val="000000"/>
                    </w:rPr>
                    <w:t>处警单位推荐模型，构建处警单位智能推荐模型，该模型根据警情信息自动计算并推荐处警单位。</w:t>
                  </w:r>
                  <w:r>
                    <w:br/>
                  </w:r>
                  <w:r>
                    <w:rPr>
                      <w:rFonts w:ascii="仿宋_GB2312" w:hAnsi="仿宋_GB2312" w:cs="仿宋_GB2312" w:eastAsia="仿宋_GB2312"/>
                      <w:sz w:val="20"/>
                      <w:color w:val="000000"/>
                    </w:rPr>
                    <w:t>处警警力推荐模型，构建处警警力推荐模型，该模型根据警情定位自动计算并推荐附近的警力。</w:t>
                  </w:r>
                  <w:r>
                    <w:br/>
                  </w:r>
                  <w:r>
                    <w:rPr>
                      <w:rFonts w:ascii="仿宋_GB2312" w:hAnsi="仿宋_GB2312" w:cs="仿宋_GB2312" w:eastAsia="仿宋_GB2312"/>
                      <w:sz w:val="21"/>
                      <w:b/>
                      <w:color w:val="000000"/>
                    </w:rPr>
                    <w:t>推荐范围调整，根据警情处置需要，可以手动调整警力推荐范围。</w:t>
                  </w:r>
                  <w:r>
                    <w:br/>
                  </w:r>
                  <w:r>
                    <w:rPr>
                      <w:rFonts w:ascii="仿宋_GB2312" w:hAnsi="仿宋_GB2312" w:cs="仿宋_GB2312" w:eastAsia="仿宋_GB2312"/>
                      <w:sz w:val="21"/>
                      <w:b/>
                      <w:color w:val="000000"/>
                    </w:rPr>
                    <w:t>处警警力推荐列表，调用处警警力推荐模型计算并获取周边处警警力并加入到待调派列表中。</w:t>
                  </w:r>
                  <w:r>
                    <w:br/>
                  </w:r>
                  <w:r>
                    <w:rPr>
                      <w:rFonts w:ascii="仿宋_GB2312" w:hAnsi="仿宋_GB2312" w:cs="仿宋_GB2312" w:eastAsia="仿宋_GB2312"/>
                      <w:sz w:val="21"/>
                      <w:b/>
                      <w:color w:val="000000"/>
                    </w:rPr>
                    <w:t>推荐警力调派，根据推荐的处警警力一键进行调派。</w:t>
                  </w:r>
                  <w:r>
                    <w:br/>
                  </w:r>
                  <w:r>
                    <w:rPr>
                      <w:rFonts w:ascii="仿宋_GB2312" w:hAnsi="仿宋_GB2312" w:cs="仿宋_GB2312" w:eastAsia="仿宋_GB2312"/>
                      <w:sz w:val="21"/>
                      <w:b/>
                      <w:color w:val="000000"/>
                    </w:rPr>
                    <w:t>推荐警力删除，根据警情处置情况可以手动把不需要调派的警力从待调派列表中删除。</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388"/>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音视频融合调度功能包</w:t>
                  </w:r>
                </w:p>
              </w:tc>
              <w:tc>
                <w:tcPr>
                  <w:tcW w:type="dxa" w:w="1630"/>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可视化处警功能扩展模块，提供融合通信对接实现音视频调度能力</w:t>
                  </w:r>
                  <w:r>
                    <w:br/>
                  </w:r>
                  <w:r>
                    <w:rPr>
                      <w:rFonts w:ascii="仿宋_GB2312" w:hAnsi="仿宋_GB2312" w:cs="仿宋_GB2312" w:eastAsia="仿宋_GB2312"/>
                      <w:sz w:val="20"/>
                      <w:color w:val="000000"/>
                    </w:rPr>
                    <w:t>文本消息发送、语音消息发送、支持发送语音消息、录音消息下载和回放、支持语音消息下载和查看、视频消息发送、支持发送视频消息</w:t>
                  </w:r>
                  <w:r>
                    <w:br/>
                  </w:r>
                  <w:r>
                    <w:rPr>
                      <w:rFonts w:ascii="仿宋_GB2312" w:hAnsi="仿宋_GB2312" w:cs="仿宋_GB2312" w:eastAsia="仿宋_GB2312"/>
                      <w:sz w:val="20"/>
                      <w:color w:val="000000"/>
                    </w:rPr>
                    <w:t>支持视频消息下载和查看、图片消息发送</w:t>
                  </w:r>
                  <w:r>
                    <w:br/>
                  </w:r>
                  <w:r>
                    <w:rPr>
                      <w:rFonts w:ascii="仿宋_GB2312" w:hAnsi="仿宋_GB2312" w:cs="仿宋_GB2312" w:eastAsia="仿宋_GB2312"/>
                      <w:sz w:val="20"/>
                      <w:color w:val="000000"/>
                    </w:rPr>
                    <w:t>支持发送图片消息、图片消息查看</w:t>
                  </w:r>
                  <w:r>
                    <w:br/>
                  </w:r>
                  <w:r>
                    <w:rPr>
                      <w:rFonts w:ascii="仿宋_GB2312" w:hAnsi="仿宋_GB2312" w:cs="仿宋_GB2312" w:eastAsia="仿宋_GB2312"/>
                      <w:sz w:val="20"/>
                      <w:color w:val="000000"/>
                    </w:rPr>
                    <w:t>支持图片消息查看、警情警力关联</w:t>
                  </w:r>
                  <w:r>
                    <w:br/>
                  </w:r>
                  <w:r>
                    <w:rPr>
                      <w:rFonts w:ascii="仿宋_GB2312" w:hAnsi="仿宋_GB2312" w:cs="仿宋_GB2312" w:eastAsia="仿宋_GB2312"/>
                      <w:sz w:val="20"/>
                      <w:color w:val="000000"/>
                    </w:rPr>
                    <w:t>以连线方式，在地图上直观展现当前警情与处警人员的关联关系、图上终端实时跟踪</w:t>
                  </w:r>
                  <w:r>
                    <w:br/>
                  </w:r>
                  <w:r>
                    <w:rPr>
                      <w:rFonts w:ascii="仿宋_GB2312" w:hAnsi="仿宋_GB2312" w:cs="仿宋_GB2312" w:eastAsia="仿宋_GB2312"/>
                      <w:sz w:val="20"/>
                      <w:color w:val="000000"/>
                    </w:rPr>
                    <w:t>可以在地图上对终端位置进行实时跟踪并显示轨迹、图上警力派警</w:t>
                  </w:r>
                  <w:r>
                    <w:br/>
                  </w:r>
                  <w:r>
                    <w:rPr>
                      <w:rFonts w:ascii="仿宋_GB2312" w:hAnsi="仿宋_GB2312" w:cs="仿宋_GB2312" w:eastAsia="仿宋_GB2312"/>
                      <w:sz w:val="20"/>
                      <w:color w:val="000000"/>
                    </w:rPr>
                    <w:t>可在地图上直接选择警力加入警力待派列表。</w:t>
                  </w:r>
                  <w:r>
                    <w:br/>
                  </w:r>
                  <w:r>
                    <w:rPr>
                      <w:rFonts w:ascii="仿宋_GB2312" w:hAnsi="仿宋_GB2312" w:cs="仿宋_GB2312" w:eastAsia="仿宋_GB2312"/>
                      <w:sz w:val="20"/>
                      <w:color w:val="000000"/>
                    </w:rPr>
                    <w:t>自定义图层、系统支持可加载自定义地图底图，包括瓦片底图和影像图，同时可叠加显示客户自定义图层如辖区、重点单位等，地图底层支持接入</w:t>
                  </w:r>
                  <w:r>
                    <w:rPr>
                      <w:rFonts w:ascii="仿宋_GB2312" w:hAnsi="仿宋_GB2312" w:cs="仿宋_GB2312" w:eastAsia="仿宋_GB2312"/>
                      <w:sz w:val="20"/>
                      <w:color w:val="000000"/>
                    </w:rPr>
                    <w:t>ArcGIS、PGIS、Google在线地图、WMS地图、离线地图文件等方式。</w:t>
                  </w:r>
                  <w:r>
                    <w:br/>
                  </w:r>
                  <w:r>
                    <w:rPr>
                      <w:rFonts w:ascii="仿宋_GB2312" w:hAnsi="仿宋_GB2312" w:cs="仿宋_GB2312" w:eastAsia="仿宋_GB2312"/>
                      <w:sz w:val="20"/>
                      <w:color w:val="000000"/>
                    </w:rPr>
                    <w:t>资源聚类展示、地图缩小到设置级别，图上对象的展现方式将切换为聚类显示，根据当前比例尺和空间距离，将对象根据地图空间分布情况按类别缩成若干聚类图标，聚类图标显示对象类型和数目。</w:t>
                  </w:r>
                  <w:r>
                    <w:br/>
                  </w:r>
                  <w:r>
                    <w:rPr>
                      <w:rFonts w:ascii="仿宋_GB2312" w:hAnsi="仿宋_GB2312" w:cs="仿宋_GB2312" w:eastAsia="仿宋_GB2312"/>
                      <w:sz w:val="20"/>
                      <w:color w:val="000000"/>
                    </w:rPr>
                    <w:t>图上标绘、提供标绘工具箱，点线面、自定义对象等元素上图标绘</w:t>
                  </w:r>
                  <w:r>
                    <w:br/>
                  </w:r>
                  <w:r>
                    <w:rPr>
                      <w:rFonts w:ascii="仿宋_GB2312" w:hAnsi="仿宋_GB2312" w:cs="仿宋_GB2312" w:eastAsia="仿宋_GB2312"/>
                      <w:sz w:val="20"/>
                      <w:color w:val="000000"/>
                    </w:rPr>
                    <w:t>图上搜索、可通过搜索框输入关键词搜索各图层元素信息。</w:t>
                  </w:r>
                  <w:r>
                    <w:br/>
                  </w:r>
                  <w:r>
                    <w:rPr>
                      <w:rFonts w:ascii="仿宋_GB2312" w:hAnsi="仿宋_GB2312" w:cs="仿宋_GB2312" w:eastAsia="仿宋_GB2312"/>
                      <w:sz w:val="20"/>
                      <w:color w:val="000000"/>
                    </w:rPr>
                    <w:t>图上定位、可通过地址搜索、输入经纬度方式定位到地图位置。</w:t>
                  </w:r>
                  <w:r>
                    <w:br/>
                  </w:r>
                  <w:r>
                    <w:rPr>
                      <w:rFonts w:ascii="仿宋_GB2312" w:hAnsi="仿宋_GB2312" w:cs="仿宋_GB2312" w:eastAsia="仿宋_GB2312"/>
                      <w:sz w:val="20"/>
                      <w:color w:val="000000"/>
                    </w:rPr>
                    <w:t>周边查询、查询警情位置周边警力，视频设备等信息；查询半径可设置。</w:t>
                  </w:r>
                  <w:r>
                    <w:br/>
                  </w:r>
                  <w:r>
                    <w:rPr>
                      <w:rFonts w:ascii="仿宋_GB2312" w:hAnsi="仿宋_GB2312" w:cs="仿宋_GB2312" w:eastAsia="仿宋_GB2312"/>
                      <w:sz w:val="20"/>
                      <w:color w:val="000000"/>
                    </w:rPr>
                    <w:t>图上区域查询、通过在地图上框选、圈选方式查询图上元素，查询结果以列表展示。</w:t>
                  </w:r>
                  <w:r>
                    <w:br/>
                  </w:r>
                  <w:r>
                    <w:rPr>
                      <w:rFonts w:ascii="仿宋_GB2312" w:hAnsi="仿宋_GB2312" w:cs="仿宋_GB2312" w:eastAsia="仿宋_GB2312"/>
                      <w:sz w:val="20"/>
                      <w:color w:val="000000"/>
                    </w:rPr>
                    <w:t>图上警力调度、在地图上点选</w:t>
                  </w:r>
                  <w:r>
                    <w:rPr>
                      <w:rFonts w:ascii="仿宋_GB2312" w:hAnsi="仿宋_GB2312" w:cs="仿宋_GB2312" w:eastAsia="仿宋_GB2312"/>
                      <w:sz w:val="20"/>
                      <w:color w:val="000000"/>
                    </w:rPr>
                    <w:t>/圈选/框选警力对象，包括警员、警车、手台、第三方定位视频/通信设备，可对选择的一个或多个对象发起呼叫或发送短信。</w:t>
                  </w:r>
                  <w:r>
                    <w:br/>
                  </w:r>
                  <w:r>
                    <w:rPr>
                      <w:rFonts w:ascii="仿宋_GB2312" w:hAnsi="仿宋_GB2312" w:cs="仿宋_GB2312" w:eastAsia="仿宋_GB2312"/>
                      <w:sz w:val="20"/>
                      <w:color w:val="000000"/>
                    </w:rPr>
                    <w:t>图上摄像头预览、在地图上点选或圈选摄像头，可对选择的一个或多个摄像头上拉实时视频。</w:t>
                  </w:r>
                  <w:r>
                    <w:br/>
                  </w:r>
                  <w:r>
                    <w:rPr>
                      <w:rFonts w:ascii="仿宋_GB2312" w:hAnsi="仿宋_GB2312" w:cs="仿宋_GB2312" w:eastAsia="仿宋_GB2312"/>
                      <w:sz w:val="20"/>
                      <w:color w:val="000000"/>
                    </w:rPr>
                    <w:t>工具栏、放大、缩小、平移、快速定位、快速查询、地图切换等基础功能。</w:t>
                  </w:r>
                  <w:r>
                    <w:br/>
                  </w:r>
                  <w:r>
                    <w:rPr>
                      <w:rFonts w:ascii="仿宋_GB2312" w:hAnsi="仿宋_GB2312" w:cs="仿宋_GB2312" w:eastAsia="仿宋_GB2312"/>
                      <w:sz w:val="20"/>
                      <w:color w:val="000000"/>
                    </w:rPr>
                    <w:t>图层控制、可控制地图各图层的显示隐藏</w:t>
                  </w:r>
                  <w:r>
                    <w:br/>
                  </w:r>
                  <w:r>
                    <w:rPr>
                      <w:rFonts w:ascii="仿宋_GB2312" w:hAnsi="仿宋_GB2312" w:cs="仿宋_GB2312" w:eastAsia="仿宋_GB2312"/>
                      <w:sz w:val="20"/>
                      <w:color w:val="000000"/>
                    </w:rPr>
                    <w:t>地图切换、支持矢量</w:t>
                  </w:r>
                  <w:r>
                    <w:rPr>
                      <w:rFonts w:ascii="仿宋_GB2312" w:hAnsi="仿宋_GB2312" w:cs="仿宋_GB2312" w:eastAsia="仿宋_GB2312"/>
                      <w:sz w:val="20"/>
                      <w:color w:val="000000"/>
                    </w:rPr>
                    <w:t>/影像图切换。</w:t>
                  </w:r>
                  <w:r>
                    <w:br/>
                  </w:r>
                  <w:r>
                    <w:rPr>
                      <w:rFonts w:ascii="仿宋_GB2312" w:hAnsi="仿宋_GB2312" w:cs="仿宋_GB2312" w:eastAsia="仿宋_GB2312"/>
                      <w:sz w:val="21"/>
                    </w:rPr>
                    <w:t>▲</w:t>
                  </w:r>
                  <w:r>
                    <w:rPr>
                      <w:rFonts w:ascii="仿宋_GB2312" w:hAnsi="仿宋_GB2312" w:cs="仿宋_GB2312" w:eastAsia="仿宋_GB2312"/>
                      <w:sz w:val="20"/>
                      <w:color w:val="000000"/>
                    </w:rPr>
                    <w:t>执法记录仪通信集成</w:t>
                  </w:r>
                  <w:r>
                    <w:rPr>
                      <w:rFonts w:ascii="仿宋_GB2312" w:hAnsi="仿宋_GB2312" w:cs="仿宋_GB2312" w:eastAsia="仿宋_GB2312"/>
                      <w:sz w:val="20"/>
                      <w:color w:val="000000"/>
                    </w:rPr>
                    <w:t>-获取执法记录仪基础数据，包括组织架构、个号、组号等、获取执法记录仪的在线状态并进行展示、实现与执法记录仪进行语音呼叫、实现执法记录仪视频上拉、实现与执法记录仪进行文本短信交互、获取执法记录仪的实时定位数据并上图展示。</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388"/>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国产数据库</w:t>
                  </w:r>
                </w:p>
              </w:tc>
              <w:tc>
                <w:tcPr>
                  <w:tcW w:type="dxa" w:w="1630"/>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0"/>
                      <w:color w:val="000000"/>
                    </w:rPr>
                    <w:t>国产数据库，基于</w:t>
                  </w:r>
                  <w:r>
                    <w:rPr>
                      <w:rFonts w:ascii="仿宋_GB2312" w:hAnsi="仿宋_GB2312" w:cs="仿宋_GB2312" w:eastAsia="仿宋_GB2312"/>
                      <w:sz w:val="20"/>
                      <w:color w:val="000000"/>
                    </w:rPr>
                    <w:t>PG开发的</w:t>
                  </w:r>
                  <w:r>
                    <w:rPr>
                      <w:rFonts w:ascii="仿宋_GB2312" w:hAnsi="仿宋_GB2312" w:cs="仿宋_GB2312" w:eastAsia="仿宋_GB2312"/>
                      <w:sz w:val="20"/>
                      <w:color w:val="000000"/>
                    </w:rPr>
                    <w:t>国产</w:t>
                  </w:r>
                  <w:r>
                    <w:rPr>
                      <w:rFonts w:ascii="仿宋_GB2312" w:hAnsi="仿宋_GB2312" w:cs="仿宋_GB2312" w:eastAsia="仿宋_GB2312"/>
                      <w:sz w:val="20"/>
                      <w:color w:val="000000"/>
                    </w:rPr>
                    <w:t>数据库</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388"/>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国产操作系统</w:t>
                  </w:r>
                </w:p>
              </w:tc>
              <w:tc>
                <w:tcPr>
                  <w:tcW w:type="dxa" w:w="1630"/>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0"/>
                      <w:color w:val="000000"/>
                    </w:rPr>
                    <w:t>国产操作系统</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3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业务服务器</w:t>
                  </w:r>
                </w:p>
              </w:tc>
              <w:tc>
                <w:tcPr>
                  <w:tcW w:type="dxa" w:w="16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0"/>
                      <w:color w:val="000000"/>
                    </w:rPr>
                    <w:t>国产服务器配置不低于</w:t>
                  </w:r>
                  <w:r>
                    <w:rPr>
                      <w:rFonts w:ascii="仿宋_GB2312" w:hAnsi="仿宋_GB2312" w:cs="仿宋_GB2312" w:eastAsia="仿宋_GB2312"/>
                      <w:sz w:val="21"/>
                    </w:rPr>
                    <w:t xml:space="preserve"> </w:t>
                  </w:r>
                  <w:r>
                    <w:rPr>
                      <w:rFonts w:ascii="仿宋_GB2312" w:hAnsi="仿宋_GB2312" w:cs="仿宋_GB2312" w:eastAsia="仿宋_GB2312"/>
                      <w:sz w:val="20"/>
                      <w:color w:val="000000"/>
                    </w:rPr>
                    <w:t>CPU：2颗国产CPU，每颗主频2.6GHz，16核;</w:t>
                  </w:r>
                </w:p>
                <w:p>
                  <w:pPr>
                    <w:pStyle w:val="null3"/>
                    <w:jc w:val="left"/>
                  </w:pPr>
                  <w:r>
                    <w:rPr>
                      <w:rFonts w:ascii="仿宋_GB2312" w:hAnsi="仿宋_GB2312" w:cs="仿宋_GB2312" w:eastAsia="仿宋_GB2312"/>
                      <w:sz w:val="20"/>
                      <w:color w:val="000000"/>
                    </w:rPr>
                    <w:t>内存：</w:t>
                  </w:r>
                  <w:r>
                    <w:rPr>
                      <w:rFonts w:ascii="仿宋_GB2312" w:hAnsi="仿宋_GB2312" w:cs="仿宋_GB2312" w:eastAsia="仿宋_GB2312"/>
                      <w:sz w:val="20"/>
                      <w:color w:val="000000"/>
                    </w:rPr>
                    <w:t>4*32GB DDR4 3200;</w:t>
                  </w:r>
                </w:p>
                <w:p>
                  <w:pPr>
                    <w:pStyle w:val="null3"/>
                    <w:jc w:val="left"/>
                  </w:pPr>
                  <w:r>
                    <w:rPr>
                      <w:rFonts w:ascii="仿宋_GB2312" w:hAnsi="仿宋_GB2312" w:cs="仿宋_GB2312" w:eastAsia="仿宋_GB2312"/>
                      <w:sz w:val="20"/>
                      <w:color w:val="000000"/>
                    </w:rPr>
                    <w:t>硬盘：</w:t>
                  </w:r>
                  <w:r>
                    <w:rPr>
                      <w:rFonts w:ascii="仿宋_GB2312" w:hAnsi="仿宋_GB2312" w:cs="仿宋_GB2312" w:eastAsia="仿宋_GB2312"/>
                      <w:sz w:val="20"/>
                      <w:color w:val="000000"/>
                    </w:rPr>
                    <w:t>5*1.2TB，转速10K，2.5英寸;</w:t>
                  </w:r>
                </w:p>
                <w:p>
                  <w:pPr>
                    <w:pStyle w:val="null3"/>
                    <w:jc w:val="left"/>
                  </w:pPr>
                  <w:r>
                    <w:rPr>
                      <w:rFonts w:ascii="仿宋_GB2312" w:hAnsi="仿宋_GB2312" w:cs="仿宋_GB2312" w:eastAsia="仿宋_GB2312"/>
                      <w:sz w:val="20"/>
                      <w:color w:val="000000"/>
                    </w:rPr>
                    <w:t>固态硬盘：</w:t>
                  </w:r>
                  <w:r>
                    <w:rPr>
                      <w:rFonts w:ascii="仿宋_GB2312" w:hAnsi="仿宋_GB2312" w:cs="仿宋_GB2312" w:eastAsia="仿宋_GB2312"/>
                      <w:sz w:val="20"/>
                      <w:color w:val="000000"/>
                    </w:rPr>
                    <w:t>1*480GB，2.5英寸， SSD;</w:t>
                  </w:r>
                </w:p>
                <w:p>
                  <w:pPr>
                    <w:pStyle w:val="null3"/>
                    <w:jc w:val="left"/>
                  </w:pPr>
                  <w:r>
                    <w:rPr>
                      <w:rFonts w:ascii="仿宋_GB2312" w:hAnsi="仿宋_GB2312" w:cs="仿宋_GB2312" w:eastAsia="仿宋_GB2312"/>
                      <w:sz w:val="20"/>
                      <w:color w:val="000000"/>
                    </w:rPr>
                    <w:t>4端口千兆电接口; 2*900W AC; RAID 4G+电容;滑轨;三年维保</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应用服务器</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0"/>
                      <w:color w:val="000000"/>
                    </w:rPr>
                    <w:t>国产服务器配置不低于</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0"/>
                      <w:color w:val="000000"/>
                    </w:rPr>
                    <w:t>CPU：2颗国产CPU，每颗主频2.6GHz，16核;</w:t>
                  </w:r>
                </w:p>
                <w:p>
                  <w:pPr>
                    <w:pStyle w:val="null3"/>
                    <w:jc w:val="left"/>
                  </w:pPr>
                  <w:r>
                    <w:rPr>
                      <w:rFonts w:ascii="仿宋_GB2312" w:hAnsi="仿宋_GB2312" w:cs="仿宋_GB2312" w:eastAsia="仿宋_GB2312"/>
                      <w:sz w:val="20"/>
                      <w:color w:val="000000"/>
                    </w:rPr>
                    <w:t>内存：</w:t>
                  </w:r>
                  <w:r>
                    <w:rPr>
                      <w:rFonts w:ascii="仿宋_GB2312" w:hAnsi="仿宋_GB2312" w:cs="仿宋_GB2312" w:eastAsia="仿宋_GB2312"/>
                      <w:sz w:val="20"/>
                      <w:color w:val="000000"/>
                    </w:rPr>
                    <w:t>4*32GB DDR4 3200;</w:t>
                  </w:r>
                </w:p>
                <w:p>
                  <w:pPr>
                    <w:pStyle w:val="null3"/>
                    <w:jc w:val="left"/>
                  </w:pPr>
                  <w:r>
                    <w:rPr>
                      <w:rFonts w:ascii="仿宋_GB2312" w:hAnsi="仿宋_GB2312" w:cs="仿宋_GB2312" w:eastAsia="仿宋_GB2312"/>
                      <w:sz w:val="20"/>
                      <w:color w:val="000000"/>
                    </w:rPr>
                    <w:t>硬盘：</w:t>
                  </w:r>
                  <w:r>
                    <w:rPr>
                      <w:rFonts w:ascii="仿宋_GB2312" w:hAnsi="仿宋_GB2312" w:cs="仿宋_GB2312" w:eastAsia="仿宋_GB2312"/>
                      <w:sz w:val="20"/>
                      <w:color w:val="000000"/>
                    </w:rPr>
                    <w:t>5*1.2TB，转速10K，2.5英寸;</w:t>
                  </w:r>
                </w:p>
                <w:p>
                  <w:pPr>
                    <w:pStyle w:val="null3"/>
                    <w:jc w:val="left"/>
                  </w:pPr>
                  <w:r>
                    <w:rPr>
                      <w:rFonts w:ascii="仿宋_GB2312" w:hAnsi="仿宋_GB2312" w:cs="仿宋_GB2312" w:eastAsia="仿宋_GB2312"/>
                      <w:sz w:val="20"/>
                      <w:color w:val="000000"/>
                    </w:rPr>
                    <w:t>固态硬盘：</w:t>
                  </w:r>
                  <w:r>
                    <w:rPr>
                      <w:rFonts w:ascii="仿宋_GB2312" w:hAnsi="仿宋_GB2312" w:cs="仿宋_GB2312" w:eastAsia="仿宋_GB2312"/>
                      <w:sz w:val="20"/>
                      <w:color w:val="000000"/>
                    </w:rPr>
                    <w:t>1*480GB，2.5英寸， SSD;</w:t>
                  </w:r>
                </w:p>
                <w:p>
                  <w:pPr>
                    <w:pStyle w:val="null3"/>
                    <w:jc w:val="left"/>
                  </w:pPr>
                  <w:r>
                    <w:rPr>
                      <w:rFonts w:ascii="仿宋_GB2312" w:hAnsi="仿宋_GB2312" w:cs="仿宋_GB2312" w:eastAsia="仿宋_GB2312"/>
                      <w:sz w:val="20"/>
                      <w:color w:val="000000"/>
                    </w:rPr>
                    <w:t>4端口千兆电接口; 2*900W AC; RAID 4G+电容;滑轨;三年维保;</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存储服务</w:t>
                  </w:r>
                  <w:r>
                    <w:rPr>
                      <w:rFonts w:ascii="仿宋_GB2312" w:hAnsi="仿宋_GB2312" w:cs="仿宋_GB2312" w:eastAsia="仿宋_GB2312"/>
                      <w:sz w:val="20"/>
                      <w:color w:val="000000"/>
                    </w:rPr>
                    <w:t>+磁盘阵列（240TB）</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配置不低于</w:t>
                  </w:r>
                  <w:r>
                    <w:rPr>
                      <w:rFonts w:ascii="仿宋_GB2312" w:hAnsi="仿宋_GB2312" w:cs="仿宋_GB2312" w:eastAsia="仿宋_GB2312"/>
                      <w:sz w:val="20"/>
                      <w:color w:val="000000"/>
                    </w:rPr>
                    <w:t>硬盘：</w:t>
                  </w:r>
                  <w:r>
                    <w:rPr>
                      <w:rFonts w:ascii="仿宋_GB2312" w:hAnsi="仿宋_GB2312" w:cs="仿宋_GB2312" w:eastAsia="仿宋_GB2312"/>
                      <w:sz w:val="20"/>
                      <w:color w:val="000000"/>
                    </w:rPr>
                    <w:t>30 X 8TB/SAS/7200RPM/3.5寸/企业级</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磁盘阵列：</w:t>
                  </w:r>
                  <w:r>
                    <w:rPr>
                      <w:rFonts w:ascii="仿宋_GB2312" w:hAnsi="仿宋_GB2312" w:cs="仿宋_GB2312" w:eastAsia="仿宋_GB2312"/>
                      <w:sz w:val="20"/>
                      <w:color w:val="000000"/>
                    </w:rPr>
                    <w:t>3.5寸盘；双控制器IP-SAN,FC-SAN，NAS存储；默认2*8G 缓存，最大32G缓存支持SSD/SAS/SATA企业级硬盘；支持RAID 0、1、3、5、6、50、60、10、NRAID级别；</w:t>
                  </w:r>
                  <w:r>
                    <w:rPr>
                      <w:rFonts w:ascii="仿宋_GB2312" w:hAnsi="仿宋_GB2312" w:cs="仿宋_GB2312" w:eastAsia="仿宋_GB2312"/>
                      <w:sz w:val="20"/>
                      <w:color w:val="000000"/>
                    </w:rPr>
                    <w:t>不低于</w:t>
                  </w:r>
                  <w:r>
                    <w:rPr>
                      <w:rFonts w:ascii="仿宋_GB2312" w:hAnsi="仿宋_GB2312" w:cs="仿宋_GB2312" w:eastAsia="仿宋_GB2312"/>
                      <w:sz w:val="20"/>
                      <w:color w:val="000000"/>
                    </w:rPr>
                    <w:t>8个千兆iSCSI，2个管理口，方便构建IP-SAN/NAS；</w:t>
                  </w:r>
                  <w:r>
                    <w:rPr>
                      <w:rFonts w:ascii="仿宋_GB2312" w:hAnsi="仿宋_GB2312" w:cs="仿宋_GB2312" w:eastAsia="仿宋_GB2312"/>
                      <w:sz w:val="21"/>
                    </w:rPr>
                    <w:t xml:space="preserve"> </w:t>
                  </w:r>
                  <w:r>
                    <w:rPr>
                      <w:rFonts w:ascii="仿宋_GB2312" w:hAnsi="仿宋_GB2312" w:cs="仿宋_GB2312" w:eastAsia="仿宋_GB2312"/>
                      <w:sz w:val="20"/>
                      <w:color w:val="000000"/>
                    </w:rPr>
                    <w:t>冗余电源和风扇；含存储管理软件。</w:t>
                  </w:r>
                  <w:r>
                    <w:rPr>
                      <w:rFonts w:ascii="仿宋_GB2312" w:hAnsi="仿宋_GB2312" w:cs="仿宋_GB2312" w:eastAsia="仿宋_GB2312"/>
                      <w:sz w:val="20"/>
                      <w:color w:val="000000"/>
                    </w:rPr>
                    <w:t xml:space="preserve">                      </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bl>
          <w:tbl>
            <w:tblPr>
              <w:tblInd w:type="dxa" w:w="120"/>
              <w:tblBorders>
                <w:top w:val="none" w:color="000000" w:sz="4"/>
                <w:left w:val="none" w:color="000000" w:sz="4"/>
                <w:bottom w:val="none" w:color="000000" w:sz="4"/>
                <w:right w:val="none" w:color="000000" w:sz="4"/>
                <w:insideH w:val="none"/>
                <w:insideV w:val="none"/>
              </w:tblBorders>
            </w:tblPr>
            <w:tblGrid>
              <w:gridCol w:w="192"/>
              <w:gridCol w:w="385"/>
              <w:gridCol w:w="1573"/>
              <w:gridCol w:w="167"/>
              <w:gridCol w:w="221"/>
            </w:tblGrid>
            <w:tr>
              <w:tc>
                <w:tcPr>
                  <w:tcW w:type="dxa" w:w="2538"/>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二</w:t>
                  </w:r>
                  <w:r>
                    <w:rPr>
                      <w:rFonts w:ascii="仿宋_GB2312" w:hAnsi="仿宋_GB2312" w:cs="仿宋_GB2312" w:eastAsia="仿宋_GB2312"/>
                      <w:sz w:val="24"/>
                      <w:b/>
                      <w:color w:val="000000"/>
                    </w:rPr>
                    <w:t>、终端</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3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名称</w:t>
                  </w:r>
                </w:p>
              </w:tc>
              <w:tc>
                <w:tcPr>
                  <w:tcW w:type="dxa" w:w="15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技术参数</w:t>
                  </w:r>
                </w:p>
              </w:tc>
              <w:tc>
                <w:tcPr>
                  <w:tcW w:type="dxa" w:w="1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数量</w:t>
                  </w:r>
                </w:p>
              </w:tc>
              <w:tc>
                <w:tcPr>
                  <w:tcW w:type="dxa" w:w="2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单位</w:t>
                  </w:r>
                </w:p>
              </w:tc>
            </w:tr>
            <w:tr>
              <w:tc>
                <w:tcPr>
                  <w:tcW w:type="dxa" w:w="19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5G执法记录仪</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外形尺寸：长、宽、高小于或等于</w:t>
                  </w:r>
                  <w:r>
                    <w:rPr>
                      <w:rFonts w:ascii="仿宋_GB2312" w:hAnsi="仿宋_GB2312" w:cs="仿宋_GB2312" w:eastAsia="仿宋_GB2312"/>
                      <w:sz w:val="20"/>
                      <w:color w:val="000000"/>
                    </w:rPr>
                    <w:t>110×</w:t>
                  </w:r>
                  <w:r>
                    <w:rPr>
                      <w:rFonts w:ascii="仿宋_GB2312" w:hAnsi="仿宋_GB2312" w:cs="仿宋_GB2312" w:eastAsia="仿宋_GB2312"/>
                      <w:sz w:val="20"/>
                      <w:color w:val="000000"/>
                    </w:rPr>
                    <w:t>60</w:t>
                  </w:r>
                  <w:r>
                    <w:rPr>
                      <w:rFonts w:ascii="仿宋_GB2312" w:hAnsi="仿宋_GB2312" w:cs="仿宋_GB2312" w:eastAsia="仿宋_GB2312"/>
                      <w:sz w:val="20"/>
                      <w:color w:val="000000"/>
                    </w:rPr>
                    <w:t>×50mm（背夹、外接设备除外）；</w:t>
                  </w:r>
                  <w:r>
                    <w:br/>
                  </w:r>
                  <w:r>
                    <w:rPr>
                      <w:rFonts w:ascii="仿宋_GB2312" w:hAnsi="仿宋_GB2312" w:cs="仿宋_GB2312" w:eastAsia="仿宋_GB2312"/>
                      <w:sz w:val="20"/>
                      <w:color w:val="000000"/>
                    </w:rPr>
                    <w:t>质量：含背夹小于或等于</w:t>
                  </w:r>
                  <w:r>
                    <w:rPr>
                      <w:rFonts w:ascii="仿宋_GB2312" w:hAnsi="仿宋_GB2312" w:cs="仿宋_GB2312" w:eastAsia="仿宋_GB2312"/>
                      <w:sz w:val="20"/>
                      <w:color w:val="000000"/>
                    </w:rPr>
                    <w:t>210g</w:t>
                  </w:r>
                  <w:r>
                    <w:rPr>
                      <w:rFonts w:ascii="仿宋_GB2312" w:hAnsi="仿宋_GB2312" w:cs="仿宋_GB2312" w:eastAsia="仿宋_GB2312"/>
                      <w:sz w:val="20"/>
                      <w:color w:val="000000"/>
                    </w:rPr>
                    <w:t>（外接设备除外）；</w:t>
                  </w:r>
                  <w:r>
                    <w:br/>
                  </w:r>
                  <w:r>
                    <w:rPr>
                      <w:rFonts w:ascii="仿宋_GB2312" w:hAnsi="仿宋_GB2312" w:cs="仿宋_GB2312" w:eastAsia="仿宋_GB2312"/>
                      <w:sz w:val="20"/>
                      <w:b/>
                      <w:color w:val="000000"/>
                    </w:rPr>
                    <w:t>卫星定位：支持独立北斗定位功能；</w:t>
                  </w:r>
                  <w:r>
                    <w:br/>
                  </w:r>
                  <w:r>
                    <w:rPr>
                      <w:rFonts w:ascii="仿宋_GB2312" w:hAnsi="仿宋_GB2312" w:cs="仿宋_GB2312" w:eastAsia="仿宋_GB2312"/>
                      <w:sz w:val="20"/>
                      <w:color w:val="000000"/>
                    </w:rPr>
                    <w:t>显示屏：彩色显示屏，显示屏尺寸大于或等于</w:t>
                  </w:r>
                  <w:r>
                    <w:rPr>
                      <w:rFonts w:ascii="仿宋_GB2312" w:hAnsi="仿宋_GB2312" w:cs="仿宋_GB2312" w:eastAsia="仿宋_GB2312"/>
                      <w:sz w:val="20"/>
                      <w:color w:val="000000"/>
                    </w:rPr>
                    <w:t>2.4英寸；</w:t>
                  </w:r>
                  <w:r>
                    <w:br/>
                  </w:r>
                  <w:r>
                    <w:rPr>
                      <w:rFonts w:ascii="仿宋_GB2312" w:hAnsi="仿宋_GB2312" w:cs="仿宋_GB2312" w:eastAsia="仿宋_GB2312"/>
                      <w:sz w:val="20"/>
                      <w:color w:val="000000"/>
                    </w:rPr>
                    <w:t>显示屏亮度：在回放模式显示全场白测试信号，测试信号时的最大亮度大于或等于</w:t>
                  </w:r>
                  <w:r>
                    <w:rPr>
                      <w:rFonts w:ascii="仿宋_GB2312" w:hAnsi="仿宋_GB2312" w:cs="仿宋_GB2312" w:eastAsia="仿宋_GB2312"/>
                      <w:sz w:val="20"/>
                      <w:color w:val="000000"/>
                    </w:rPr>
                    <w:t>500cd/m2；</w:t>
                  </w:r>
                  <w:r>
                    <w:br/>
                  </w:r>
                  <w:r>
                    <w:rPr>
                      <w:rFonts w:ascii="仿宋_GB2312" w:hAnsi="仿宋_GB2312" w:cs="仿宋_GB2312" w:eastAsia="仿宋_GB2312"/>
                      <w:sz w:val="20"/>
                      <w:color w:val="000000"/>
                    </w:rPr>
                    <w:t>视场角：摄像头的水平视场角大于或等于</w:t>
                  </w:r>
                  <w:r>
                    <w:rPr>
                      <w:rFonts w:ascii="仿宋_GB2312" w:hAnsi="仿宋_GB2312" w:cs="仿宋_GB2312" w:eastAsia="仿宋_GB2312"/>
                      <w:sz w:val="20"/>
                      <w:color w:val="000000"/>
                    </w:rPr>
                    <w:t>120</w:t>
                  </w:r>
                  <w:r>
                    <w:rPr>
                      <w:rFonts w:ascii="仿宋_GB2312" w:hAnsi="仿宋_GB2312" w:cs="仿宋_GB2312" w:eastAsia="仿宋_GB2312"/>
                      <w:sz w:val="20"/>
                      <w:color w:val="000000"/>
                    </w:rPr>
                    <w:t>度；视频性能：在视频分辨率</w:t>
                  </w:r>
                  <w:r>
                    <w:rPr>
                      <w:rFonts w:ascii="仿宋_GB2312" w:hAnsi="仿宋_GB2312" w:cs="仿宋_GB2312" w:eastAsia="仿宋_GB2312"/>
                      <w:sz w:val="20"/>
                      <w:color w:val="000000"/>
                    </w:rPr>
                    <w:t>3840×2160下，帧率≥26帧/s，视频分辨力</w:t>
                  </w:r>
                  <w:r>
                    <w:rPr>
                      <w:rFonts w:ascii="仿宋_GB2312" w:hAnsi="仿宋_GB2312" w:cs="仿宋_GB2312" w:eastAsia="仿宋_GB2312"/>
                      <w:sz w:val="20"/>
                      <w:color w:val="000000"/>
                    </w:rPr>
                    <w:t>≥1600线</w:t>
                  </w:r>
                  <w:r>
                    <w:rPr>
                      <w:rFonts w:ascii="仿宋_GB2312" w:hAnsi="仿宋_GB2312" w:cs="仿宋_GB2312" w:eastAsia="仿宋_GB2312"/>
                      <w:sz w:val="20"/>
                      <w:color w:val="000000"/>
                    </w:rPr>
                    <w:t>；</w:t>
                  </w:r>
                  <w:r>
                    <w:br/>
                  </w:r>
                  <w:r>
                    <w:rPr>
                      <w:rFonts w:ascii="仿宋_GB2312" w:hAnsi="仿宋_GB2312" w:cs="仿宋_GB2312" w:eastAsia="仿宋_GB2312"/>
                      <w:sz w:val="21"/>
                    </w:rPr>
                    <w:t>▲</w:t>
                  </w:r>
                  <w:r>
                    <w:rPr>
                      <w:rFonts w:ascii="仿宋_GB2312" w:hAnsi="仿宋_GB2312" w:cs="仿宋_GB2312" w:eastAsia="仿宋_GB2312"/>
                      <w:sz w:val="20"/>
                      <w:color w:val="000000"/>
                    </w:rPr>
                    <w:t>照片分辨力：拍摄的照片在</w:t>
                  </w:r>
                  <w:r>
                    <w:rPr>
                      <w:rFonts w:ascii="仿宋_GB2312" w:hAnsi="仿宋_GB2312" w:cs="仿宋_GB2312" w:eastAsia="仿宋_GB2312"/>
                      <w:sz w:val="20"/>
                      <w:color w:val="000000"/>
                    </w:rPr>
                    <w:t>≥</w:t>
                  </w:r>
                  <w:r>
                    <w:rPr>
                      <w:rFonts w:ascii="仿宋_GB2312" w:hAnsi="仿宋_GB2312" w:cs="仿宋_GB2312" w:eastAsia="仿宋_GB2312"/>
                      <w:sz w:val="20"/>
                      <w:color w:val="000000"/>
                    </w:rPr>
                    <w:t>12032×9024</w:t>
                  </w:r>
                  <w:r>
                    <w:rPr>
                      <w:rFonts w:ascii="仿宋_GB2312" w:hAnsi="仿宋_GB2312" w:cs="仿宋_GB2312" w:eastAsia="仿宋_GB2312"/>
                      <w:sz w:val="20"/>
                      <w:color w:val="000000"/>
                    </w:rPr>
                    <w:t>像素下，分辨力应不低于</w:t>
                  </w:r>
                  <w:r>
                    <w:rPr>
                      <w:rFonts w:ascii="仿宋_GB2312" w:hAnsi="仿宋_GB2312" w:cs="仿宋_GB2312" w:eastAsia="仿宋_GB2312"/>
                      <w:sz w:val="20"/>
                      <w:color w:val="000000"/>
                    </w:rPr>
                    <w:t>1600线；</w:t>
                  </w:r>
                  <w:r>
                    <w:br/>
                  </w:r>
                  <w:r>
                    <w:rPr>
                      <w:rFonts w:ascii="仿宋_GB2312" w:hAnsi="仿宋_GB2312" w:cs="仿宋_GB2312" w:eastAsia="仿宋_GB2312"/>
                      <w:sz w:val="20"/>
                      <w:color w:val="000000"/>
                    </w:rPr>
                    <w:t>外壳防护等级：防护等级不低于</w:t>
                  </w:r>
                  <w:r>
                    <w:rPr>
                      <w:rFonts w:ascii="仿宋_GB2312" w:hAnsi="仿宋_GB2312" w:cs="仿宋_GB2312" w:eastAsia="仿宋_GB2312"/>
                      <w:sz w:val="20"/>
                      <w:color w:val="000000"/>
                    </w:rPr>
                    <w:t>IP68要求(水深1m，持续2小时)；</w:t>
                  </w:r>
                  <w:r>
                    <w:br/>
                  </w:r>
                  <w:r>
                    <w:rPr>
                      <w:rFonts w:ascii="仿宋_GB2312" w:hAnsi="仿宋_GB2312" w:cs="仿宋_GB2312" w:eastAsia="仿宋_GB2312"/>
                      <w:sz w:val="20"/>
                      <w:color w:val="000000"/>
                    </w:rPr>
                    <w:t>声音支持降噪，喇叭不小于</w:t>
                  </w:r>
                  <w:r>
                    <w:rPr>
                      <w:rFonts w:ascii="仿宋_GB2312" w:hAnsi="仿宋_GB2312" w:cs="仿宋_GB2312" w:eastAsia="仿宋_GB2312"/>
                      <w:sz w:val="20"/>
                      <w:color w:val="000000"/>
                    </w:rPr>
                    <w:t>2w；</w:t>
                  </w:r>
                  <w:r>
                    <w:br/>
                  </w:r>
                  <w:r>
                    <w:rPr>
                      <w:rFonts w:ascii="仿宋_GB2312" w:hAnsi="仿宋_GB2312" w:cs="仿宋_GB2312" w:eastAsia="仿宋_GB2312"/>
                      <w:sz w:val="20"/>
                      <w:color w:val="000000"/>
                    </w:rPr>
                    <w:t>存储空间：执法记录仪内存</w:t>
                  </w:r>
                  <w:r>
                    <w:rPr>
                      <w:rFonts w:ascii="仿宋_GB2312" w:hAnsi="仿宋_GB2312" w:cs="仿宋_GB2312" w:eastAsia="仿宋_GB2312"/>
                      <w:sz w:val="20"/>
                      <w:color w:val="000000"/>
                    </w:rPr>
                    <w:t>不小于</w:t>
                  </w:r>
                  <w:r>
                    <w:rPr>
                      <w:rFonts w:ascii="仿宋_GB2312" w:hAnsi="仿宋_GB2312" w:cs="仿宋_GB2312" w:eastAsia="仿宋_GB2312"/>
                      <w:sz w:val="20"/>
                      <w:color w:val="000000"/>
                    </w:rPr>
                    <w:t>64GB；</w:t>
                  </w:r>
                  <w:r>
                    <w:br/>
                  </w:r>
                  <w:r>
                    <w:rPr>
                      <w:rFonts w:ascii="仿宋_GB2312" w:hAnsi="仿宋_GB2312" w:cs="仿宋_GB2312" w:eastAsia="仿宋_GB2312"/>
                      <w:sz w:val="20"/>
                      <w:color w:val="000000"/>
                    </w:rPr>
                    <w:t>视音频预录</w:t>
                  </w:r>
                  <w:r>
                    <w:rPr>
                      <w:rFonts w:ascii="仿宋_GB2312" w:hAnsi="仿宋_GB2312" w:cs="仿宋_GB2312" w:eastAsia="仿宋_GB2312"/>
                      <w:sz w:val="20"/>
                      <w:color w:val="000000"/>
                    </w:rPr>
                    <w:t>/延录功能：可通过上位机软件分别设置预录/延录时长；能在1920×1080分辨率下支持预录大于或等于</w:t>
                  </w:r>
                  <w:r>
                    <w:rPr>
                      <w:rFonts w:ascii="仿宋_GB2312" w:hAnsi="仿宋_GB2312" w:cs="仿宋_GB2312" w:eastAsia="仿宋_GB2312"/>
                      <w:sz w:val="20"/>
                      <w:color w:val="000000"/>
                    </w:rPr>
                    <w:t>100s</w:t>
                  </w:r>
                  <w:r>
                    <w:rPr>
                      <w:rFonts w:ascii="仿宋_GB2312" w:hAnsi="仿宋_GB2312" w:cs="仿宋_GB2312" w:eastAsia="仿宋_GB2312"/>
                      <w:sz w:val="20"/>
                      <w:color w:val="000000"/>
                    </w:rPr>
                    <w:t>的视音频信息；无线传输功能：支持通过无线网络以文件或流的形式传输数据；</w:t>
                  </w:r>
                  <w:r>
                    <w:br/>
                  </w:r>
                  <w:r>
                    <w:rPr>
                      <w:rFonts w:ascii="仿宋_GB2312" w:hAnsi="仿宋_GB2312" w:cs="仿宋_GB2312" w:eastAsia="仿宋_GB2312"/>
                      <w:sz w:val="20"/>
                      <w:color w:val="000000"/>
                    </w:rPr>
                    <w:t>具备视频防抖功能；</w:t>
                  </w:r>
                  <w:r>
                    <w:br/>
                  </w:r>
                  <w:r>
                    <w:rPr>
                      <w:rFonts w:ascii="仿宋_GB2312" w:hAnsi="仿宋_GB2312" w:cs="仿宋_GB2312" w:eastAsia="仿宋_GB2312"/>
                      <w:sz w:val="20"/>
                      <w:color w:val="000000"/>
                    </w:rPr>
                    <w:t>电池工作时间：采用内置可更换电池供电，更换一次电池条件下，连续录像时间大于等于</w:t>
                  </w:r>
                  <w:r>
                    <w:rPr>
                      <w:rFonts w:ascii="仿宋_GB2312" w:hAnsi="仿宋_GB2312" w:cs="仿宋_GB2312" w:eastAsia="仿宋_GB2312"/>
                      <w:sz w:val="20"/>
                      <w:color w:val="000000"/>
                    </w:rPr>
                    <w:t>8h；</w:t>
                  </w:r>
                  <w:r>
                    <w:br/>
                  </w:r>
                  <w:r>
                    <w:rPr>
                      <w:rFonts w:ascii="仿宋_GB2312" w:hAnsi="仿宋_GB2312" w:cs="仿宋_GB2312" w:eastAsia="仿宋_GB2312"/>
                      <w:sz w:val="20"/>
                      <w:color w:val="000000"/>
                    </w:rPr>
                    <w:t>5G传输功能：支持双码流功能同时进行1路本地录像、1路实时视频上传至管理平台，可分别设置两路视频分辨率；</w:t>
                  </w:r>
                  <w:r>
                    <w:br/>
                  </w:r>
                  <w:r>
                    <w:rPr>
                      <w:rFonts w:ascii="仿宋_GB2312" w:hAnsi="仿宋_GB2312" w:cs="仿宋_GB2312" w:eastAsia="仿宋_GB2312"/>
                      <w:sz w:val="20"/>
                      <w:color w:val="000000"/>
                    </w:rPr>
                    <w:t>5G传输功能：支持3840x2160分辨率视频图传，分辨力&gt;1200线；</w:t>
                  </w:r>
                  <w:r>
                    <w:br/>
                  </w:r>
                  <w:r>
                    <w:rPr>
                      <w:rFonts w:ascii="仿宋_GB2312" w:hAnsi="仿宋_GB2312" w:cs="仿宋_GB2312" w:eastAsia="仿宋_GB2312"/>
                      <w:sz w:val="20"/>
                      <w:color w:val="000000"/>
                    </w:rPr>
                    <w:t>产品符合</w:t>
                  </w:r>
                  <w:r>
                    <w:rPr>
                      <w:rFonts w:ascii="仿宋_GB2312" w:hAnsi="仿宋_GB2312" w:cs="仿宋_GB2312" w:eastAsia="仿宋_GB2312"/>
                      <w:sz w:val="20"/>
                      <w:color w:val="000000"/>
                    </w:rPr>
                    <w:t>GA/T 947.2-2015（第2部分 执法记录仪）及GA/T 1987-2022标准要求；</w:t>
                  </w:r>
                  <w:r>
                    <w:br/>
                  </w:r>
                  <w:r>
                    <w:rPr>
                      <w:rFonts w:ascii="仿宋_GB2312" w:hAnsi="仿宋_GB2312" w:cs="仿宋_GB2312" w:eastAsia="仿宋_GB2312"/>
                      <w:sz w:val="21"/>
                    </w:rPr>
                    <w:t>▲</w:t>
                  </w:r>
                  <w:r>
                    <w:rPr>
                      <w:rFonts w:ascii="仿宋_GB2312" w:hAnsi="仿宋_GB2312" w:cs="仿宋_GB2312" w:eastAsia="仿宋_GB2312"/>
                      <w:sz w:val="20"/>
                      <w:color w:val="000000"/>
                    </w:rPr>
                    <w:t>能够接入</w:t>
                  </w:r>
                  <w:r>
                    <w:rPr>
                      <w:rFonts w:ascii="仿宋_GB2312" w:hAnsi="仿宋_GB2312" w:cs="仿宋_GB2312" w:eastAsia="仿宋_GB2312"/>
                      <w:sz w:val="20"/>
                      <w:color w:val="000000"/>
                    </w:rPr>
                    <w:t>支持接入陕西省公安厅全省</w:t>
                  </w:r>
                  <w:r>
                    <w:rPr>
                      <w:rFonts w:ascii="仿宋_GB2312" w:hAnsi="仿宋_GB2312" w:cs="仿宋_GB2312" w:eastAsia="仿宋_GB2312"/>
                      <w:sz w:val="20"/>
                      <w:color w:val="000000"/>
                    </w:rPr>
                    <w:t>10接警处警及交警简易执法可视化监督平台，并能够实现集群对讲功能</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能够接入</w:t>
                  </w:r>
                  <w:r>
                    <w:rPr>
                      <w:rFonts w:ascii="仿宋_GB2312" w:hAnsi="仿宋_GB2312" w:cs="仿宋_GB2312" w:eastAsia="仿宋_GB2312"/>
                      <w:sz w:val="20"/>
                      <w:color w:val="000000"/>
                    </w:rPr>
                    <w:t>陕西省公安厅</w:t>
                  </w:r>
                  <w:r>
                    <w:rPr>
                      <w:rFonts w:ascii="仿宋_GB2312" w:hAnsi="仿宋_GB2312" w:cs="仿宋_GB2312" w:eastAsia="仿宋_GB2312"/>
                      <w:sz w:val="20"/>
                      <w:color w:val="000000"/>
                    </w:rPr>
                    <w:t>机场公安局</w:t>
                  </w:r>
                  <w:r>
                    <w:rPr>
                      <w:rFonts w:ascii="仿宋_GB2312" w:hAnsi="仿宋_GB2312" w:cs="仿宋_GB2312" w:eastAsia="仿宋_GB2312"/>
                      <w:sz w:val="21"/>
                    </w:rPr>
                    <w:t>智慧接警系统</w:t>
                  </w:r>
                </w:p>
                <w:p>
                  <w:pPr>
                    <w:pStyle w:val="null3"/>
                    <w:jc w:val="left"/>
                  </w:pPr>
                  <w:r>
                    <w:rPr>
                      <w:rFonts w:ascii="仿宋_GB2312" w:hAnsi="仿宋_GB2312" w:cs="仿宋_GB2312" w:eastAsia="仿宋_GB2312"/>
                      <w:sz w:val="21"/>
                    </w:rPr>
                    <w:t>▲</w:t>
                  </w:r>
                  <w:r>
                    <w:rPr>
                      <w:rFonts w:ascii="仿宋_GB2312" w:hAnsi="仿宋_GB2312" w:cs="仿宋_GB2312" w:eastAsia="仿宋_GB2312"/>
                      <w:sz w:val="20"/>
                      <w:color w:val="000000"/>
                    </w:rPr>
                    <w:t>支持</w:t>
                  </w:r>
                  <w:r>
                    <w:rPr>
                      <w:rFonts w:ascii="仿宋_GB2312" w:hAnsi="仿宋_GB2312" w:cs="仿宋_GB2312" w:eastAsia="仿宋_GB2312"/>
                      <w:sz w:val="20"/>
                      <w:color w:val="000000"/>
                    </w:rPr>
                    <w:t>集群对讲功能；</w:t>
                  </w:r>
                  <w:r>
                    <w:br/>
                  </w:r>
                  <w:r>
                    <w:rPr>
                      <w:rFonts w:ascii="仿宋_GB2312" w:hAnsi="仿宋_GB2312" w:cs="仿宋_GB2312" w:eastAsia="仿宋_GB2312"/>
                      <w:sz w:val="20"/>
                      <w:color w:val="000000"/>
                    </w:rPr>
                    <w:t>具备扫碰警情关联，双人执法远程协同功能。</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192"/>
                  <w:vMerge/>
                  <w:tcBorders>
                    <w:top w:val="none" w:color="000000" w:sz="4"/>
                    <w:left w:val="single" w:color="000000" w:sz="4"/>
                    <w:bottom w:val="single" w:color="000000" w:sz="4"/>
                    <w:right w:val="single" w:color="000000" w:sz="4"/>
                  </w:tcBorders>
                </w:tcPr>
                <w:p/>
              </w:tc>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加密卡</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加密卡</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采集工作站</w:t>
                  </w:r>
                </w:p>
              </w:tc>
              <w:tc>
                <w:tcPr>
                  <w:tcW w:type="dxa" w:w="1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b/>
                      <w:color w:val="000000"/>
                    </w:rPr>
                    <w:t>触摸屏：具有不小于</w:t>
                  </w:r>
                  <w:r>
                    <w:rPr>
                      <w:rFonts w:ascii="仿宋_GB2312" w:hAnsi="仿宋_GB2312" w:cs="仿宋_GB2312" w:eastAsia="仿宋_GB2312"/>
                      <w:sz w:val="21"/>
                      <w:b/>
                      <w:color w:val="000000"/>
                    </w:rPr>
                    <w:t>19</w:t>
                  </w:r>
                  <w:r>
                    <w:rPr>
                      <w:rFonts w:ascii="仿宋_GB2312" w:hAnsi="仿宋_GB2312" w:cs="仿宋_GB2312" w:eastAsia="仿宋_GB2312"/>
                      <w:sz w:val="21"/>
                      <w:b/>
                      <w:color w:val="000000"/>
                    </w:rPr>
                    <w:t>寸触摸显示屏，显示屏分辨率不小于</w:t>
                  </w:r>
                  <w:r>
                    <w:rPr>
                      <w:rFonts w:ascii="仿宋_GB2312" w:hAnsi="仿宋_GB2312" w:cs="仿宋_GB2312" w:eastAsia="仿宋_GB2312"/>
                      <w:sz w:val="21"/>
                      <w:b/>
                      <w:color w:val="000000"/>
                    </w:rPr>
                    <w:t>1280×1024</w:t>
                  </w:r>
                  <w:r>
                    <w:rPr>
                      <w:rFonts w:ascii="仿宋_GB2312" w:hAnsi="仿宋_GB2312" w:cs="仿宋_GB2312" w:eastAsia="仿宋_GB2312"/>
                      <w:sz w:val="21"/>
                      <w:b/>
                      <w:color w:val="000000"/>
                    </w:rPr>
                    <w:t>，可在触摸屏上进行功能操作；</w:t>
                  </w:r>
                  <w:r>
                    <w:br/>
                  </w:r>
                  <w:r>
                    <w:rPr>
                      <w:rFonts w:ascii="仿宋_GB2312" w:hAnsi="仿宋_GB2312" w:cs="仿宋_GB2312" w:eastAsia="仿宋_GB2312"/>
                      <w:sz w:val="20"/>
                      <w:color w:val="000000"/>
                    </w:rPr>
                    <w:t>屏幕与物理采集位置对应：执法数据采集设备显示的接口编号可与其物理采集接口位置一一对应；</w:t>
                  </w:r>
                  <w:r>
                    <w:br/>
                  </w:r>
                  <w:r>
                    <w:rPr>
                      <w:rFonts w:ascii="仿宋_GB2312" w:hAnsi="仿宋_GB2312" w:cs="仿宋_GB2312" w:eastAsia="仿宋_GB2312"/>
                      <w:sz w:val="21"/>
                    </w:rPr>
                    <w:t>▲</w:t>
                  </w:r>
                  <w:r>
                    <w:rPr>
                      <w:rFonts w:ascii="仿宋_GB2312" w:hAnsi="仿宋_GB2312" w:cs="仿宋_GB2312" w:eastAsia="仿宋_GB2312"/>
                      <w:sz w:val="20"/>
                      <w:color w:val="000000"/>
                    </w:rPr>
                    <w:t>接入能力：大于或等于</w:t>
                  </w:r>
                  <w:r>
                    <w:rPr>
                      <w:rFonts w:ascii="仿宋_GB2312" w:hAnsi="仿宋_GB2312" w:cs="仿宋_GB2312" w:eastAsia="仿宋_GB2312"/>
                      <w:sz w:val="20"/>
                      <w:color w:val="000000"/>
                    </w:rPr>
                    <w:t>20口接入；</w:t>
                  </w:r>
                  <w:r>
                    <w:br/>
                  </w:r>
                  <w:r>
                    <w:rPr>
                      <w:rFonts w:ascii="仿宋_GB2312" w:hAnsi="仿宋_GB2312" w:cs="仿宋_GB2312" w:eastAsia="仿宋_GB2312"/>
                      <w:sz w:val="21"/>
                    </w:rPr>
                    <w:t>▲</w:t>
                  </w:r>
                  <w:r>
                    <w:rPr>
                      <w:rFonts w:ascii="仿宋_GB2312" w:hAnsi="仿宋_GB2312" w:cs="仿宋_GB2312" w:eastAsia="仿宋_GB2312"/>
                      <w:sz w:val="20"/>
                      <w:color w:val="000000"/>
                    </w:rPr>
                    <w:t>硬盘存储：大于或等于</w:t>
                  </w:r>
                  <w:r>
                    <w:rPr>
                      <w:rFonts w:ascii="仿宋_GB2312" w:hAnsi="仿宋_GB2312" w:cs="仿宋_GB2312" w:eastAsia="仿宋_GB2312"/>
                      <w:sz w:val="20"/>
                      <w:color w:val="000000"/>
                    </w:rPr>
                    <w:t>24</w:t>
                  </w:r>
                  <w:r>
                    <w:rPr>
                      <w:rFonts w:ascii="仿宋_GB2312" w:hAnsi="仿宋_GB2312" w:cs="仿宋_GB2312" w:eastAsia="仿宋_GB2312"/>
                      <w:sz w:val="20"/>
                      <w:color w:val="000000"/>
                    </w:rPr>
                    <w:t>TB；</w:t>
                  </w:r>
                  <w:r>
                    <w:br/>
                  </w:r>
                  <w:r>
                    <w:rPr>
                      <w:rFonts w:ascii="仿宋_GB2312" w:hAnsi="仿宋_GB2312" w:cs="仿宋_GB2312" w:eastAsia="仿宋_GB2312"/>
                      <w:sz w:val="20"/>
                      <w:color w:val="000000"/>
                    </w:rPr>
                    <w:t>数据采集速率：在接入能力满负荷条件下的平均单路数据采集速率大于等于</w:t>
                  </w:r>
                  <w:r>
                    <w:rPr>
                      <w:rFonts w:ascii="仿宋_GB2312" w:hAnsi="仿宋_GB2312" w:cs="仿宋_GB2312" w:eastAsia="仿宋_GB2312"/>
                      <w:sz w:val="20"/>
                      <w:color w:val="000000"/>
                    </w:rPr>
                    <w:t>3.5MB/s；</w:t>
                  </w:r>
                  <w:r>
                    <w:br/>
                  </w:r>
                  <w:r>
                    <w:rPr>
                      <w:rFonts w:ascii="仿宋_GB2312" w:hAnsi="仿宋_GB2312" w:cs="仿宋_GB2312" w:eastAsia="仿宋_GB2312"/>
                      <w:sz w:val="20"/>
                      <w:color w:val="000000"/>
                    </w:rPr>
                    <w:t>工作噪声：正常工作条件下的工作噪声不大于</w:t>
                  </w:r>
                  <w:r>
                    <w:rPr>
                      <w:rFonts w:ascii="仿宋_GB2312" w:hAnsi="仿宋_GB2312" w:cs="仿宋_GB2312" w:eastAsia="仿宋_GB2312"/>
                      <w:sz w:val="20"/>
                      <w:color w:val="000000"/>
                    </w:rPr>
                    <w:t>45.5dB(A)；</w:t>
                  </w:r>
                  <w:r>
                    <w:br/>
                  </w:r>
                  <w:r>
                    <w:rPr>
                      <w:rFonts w:ascii="仿宋_GB2312" w:hAnsi="仿宋_GB2312" w:cs="仿宋_GB2312" w:eastAsia="仿宋_GB2312"/>
                      <w:sz w:val="20"/>
                      <w:color w:val="000000"/>
                    </w:rPr>
                    <w:t>信息与状态显示：设备能显示每台接入的记录仪设备信息和数据采集设备的存储总容量、剩余容量、采集接口编号等；</w:t>
                  </w:r>
                  <w:r>
                    <w:br/>
                  </w:r>
                  <w:r>
                    <w:rPr>
                      <w:rFonts w:ascii="仿宋_GB2312" w:hAnsi="仿宋_GB2312" w:cs="仿宋_GB2312" w:eastAsia="仿宋_GB2312"/>
                      <w:sz w:val="20"/>
                      <w:color w:val="000000"/>
                    </w:rPr>
                    <w:t>数据完整性：采集设备在采集过程中，出现意外断开连接的情况，记录仪和采集站中存储数据及配置信息不丢失，正常启动或连接后能自动继续进行采集数据。</w:t>
                  </w:r>
                  <w:r>
                    <w:br/>
                  </w:r>
                  <w:r>
                    <w:rPr>
                      <w:rFonts w:ascii="仿宋_GB2312" w:hAnsi="仿宋_GB2312" w:cs="仿宋_GB2312" w:eastAsia="仿宋_GB2312"/>
                      <w:sz w:val="20"/>
                      <w:color w:val="000000"/>
                    </w:rPr>
                    <w:t>MTBF检测：采集站的平均无故障工作时间（MTBF）不低于10000小时；</w:t>
                  </w:r>
                  <w:r>
                    <w:br/>
                  </w:r>
                  <w:r>
                    <w:rPr>
                      <w:rFonts w:ascii="仿宋_GB2312" w:hAnsi="仿宋_GB2312" w:cs="仿宋_GB2312" w:eastAsia="仿宋_GB2312"/>
                      <w:sz w:val="21"/>
                    </w:rPr>
                    <w:t>▲</w:t>
                  </w:r>
                  <w:r>
                    <w:rPr>
                      <w:rFonts w:ascii="仿宋_GB2312" w:hAnsi="仿宋_GB2312" w:cs="仿宋_GB2312" w:eastAsia="仿宋_GB2312"/>
                      <w:sz w:val="20"/>
                      <w:color w:val="000000"/>
                    </w:rPr>
                    <w:t>能够接入陕西省执法办案综合管理平台，实现音视频在线查阅、调取。</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 硬件3 年，软件终身维护。</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 40 日完成交付使用。</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陕西省公安厅机场公安局</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包括但不限于以下要求： （1）投标人提供的产品性能及质量有国家标准的应符合国家标准，无国家标准的应符合行业标准或企业标准，并满足需方要求； （2）验收:货到当场验收，供方需提供合格证、发票等有效质量证明材料。如发现货物的规格,数量,质量有任何问题，供方需无条件更换，并承担一切责任。所有产品验收以招标文件技术要求为准逐条进行验收，不符合者则验收不予通过</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项目合同签订后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未按合同要求提供、服务内容未满足采购人技术要求，采购人有权终止合同并对供方违约行为进行追究。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1.知识产权及源代码归属等相关要求 （1）本项目的所有权和知识产权归采购单位所有； （2）涉及的源代码（含质保期内的后续升级版本）必须遵循相关标准和规范,并无条件提交给建设单位； （3）涉及接口的，必须遵循相关标准和规范。向下部署的，必须无条件开放所有接口且满足国家共享相关规定要求。项目承建单位（施工单位、实施单位）有义务配合建设单位做好有关信息共享工作； （4）本项目在开发、使用和维护过程中接触到的建设单位所有资料，未经建设单位授权代表书面许可，不得留存，私自查阅及向第三方泄露； （5）本项目的设计开发专利申请权、技术秘密的使用权和转让权归采购单位所有。 2.供应商应当保持单项价格的合理性的要求 “项目供应商应当保持单项价格的合理性，严禁出现不平衡报价的情况，项目采购结束后，采购人有权对各单项价格进行核查，如果存在严重超过市场价格的产品，将在正式合同中明确：对于认定为不平衡报价的单项，如果发生数量变动，将按照有利于采购人的单价进行认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提供企业营业执照/事业单位法人证书/专业服务机构执业许可证/民办非企业单位登记证书。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2024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提供书面声明，包括声明具有履行合同所必需的设备和专业技术能力；未为本项目提供整体设计、规范编制或者项目管理、监理、检测等服务。</w:t>
            </w:r>
          </w:p>
        </w:tc>
        <w:tc>
          <w:tcPr>
            <w:tcW w:type="dxa" w:w="1661"/>
          </w:tcPr>
          <w:p>
            <w:pPr>
              <w:pStyle w:val="null3"/>
            </w:pPr>
            <w:r>
              <w:rPr>
                <w:rFonts w:ascii="仿宋_GB2312" w:hAnsi="仿宋_GB2312" w:cs="仿宋_GB2312" w:eastAsia="仿宋_GB2312"/>
              </w:rPr>
              <w:t>书面声明</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提供递交响应文件截止之日前一年内任意一个月的社会保障资金缴存单据或社保机构开具的社会保险参保缴费情况证明。依法不需要缴纳社会保障资金的供应商应提供相关文件证明。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近三年无重大违法、违纪书面声明</w:t>
            </w:r>
          </w:p>
        </w:tc>
        <w:tc>
          <w:tcPr>
            <w:tcW w:type="dxa" w:w="3322"/>
          </w:tcPr>
          <w:p>
            <w:pPr>
              <w:pStyle w:val="null3"/>
            </w:pPr>
            <w:r>
              <w:rPr>
                <w:rFonts w:ascii="仿宋_GB2312" w:hAnsi="仿宋_GB2312" w:cs="仿宋_GB2312" w:eastAsia="仿宋_GB2312"/>
              </w:rPr>
              <w:t>提供《近三年无重大违法、违纪书面声明》</w:t>
            </w:r>
          </w:p>
        </w:tc>
        <w:tc>
          <w:tcPr>
            <w:tcW w:type="dxa" w:w="1661"/>
          </w:tcPr>
          <w:p>
            <w:pPr>
              <w:pStyle w:val="null3"/>
            </w:pPr>
            <w:r>
              <w:rPr>
                <w:rFonts w:ascii="仿宋_GB2312" w:hAnsi="仿宋_GB2312" w:cs="仿宋_GB2312" w:eastAsia="仿宋_GB2312"/>
              </w:rPr>
              <w:t>近三年无重大违法、违纪书面声明</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控股管理关系</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本人身份证复印件（附在响应文件中）；法定代表人授权他人参加磋商的，须提供法定代表人授权委托书。磋商文件中凡是需要法定代表人盖章之处，非法人单位的负责人均参照执行。 法人的分支机构参与磋商时，除提供《法定代表人授权委托书》、《法定代表人证明书》外，还须同时提供法人给分支机构出具的授权书。</w:t>
            </w:r>
          </w:p>
        </w:tc>
        <w:tc>
          <w:tcPr>
            <w:tcW w:type="dxa" w:w="1661"/>
          </w:tcPr>
          <w:p>
            <w:pPr>
              <w:pStyle w:val="null3"/>
            </w:pPr>
            <w:r>
              <w:rPr>
                <w:rFonts w:ascii="仿宋_GB2312" w:hAnsi="仿宋_GB2312" w:cs="仿宋_GB2312" w:eastAsia="仿宋_GB2312"/>
              </w:rPr>
              <w:t>法定代表人授权书</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本项目不接受联合体磋商，不允许分包</w:t>
            </w:r>
          </w:p>
        </w:tc>
        <w:tc>
          <w:tcPr>
            <w:tcW w:type="dxa" w:w="3322"/>
          </w:tcPr>
          <w:p>
            <w:pPr>
              <w:pStyle w:val="null3"/>
            </w:pPr>
            <w:r>
              <w:rPr>
                <w:rFonts w:ascii="仿宋_GB2312" w:hAnsi="仿宋_GB2312" w:cs="仿宋_GB2312" w:eastAsia="仿宋_GB2312"/>
              </w:rPr>
              <w:t>供应商应提供《非联合体不分包磋商声明》，视为独立磋商，不分包。</w:t>
            </w:r>
          </w:p>
        </w:tc>
        <w:tc>
          <w:tcPr>
            <w:tcW w:type="dxa" w:w="1661"/>
          </w:tcPr>
          <w:p>
            <w:pPr>
              <w:pStyle w:val="null3"/>
            </w:pPr>
            <w:r>
              <w:rPr>
                <w:rFonts w:ascii="仿宋_GB2312" w:hAnsi="仿宋_GB2312" w:cs="仿宋_GB2312" w:eastAsia="仿宋_GB2312"/>
              </w:rPr>
              <w:t>非联合体不分包响应声明</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服务内容及服务邀请应答表 保证金汇款声明函 分项报价表 中小企业声明函 商务应答表 供应商应提交的相关资格证明材料 报价表 非联合体不分包响应声明 控股管理关系 法定代表人授权书 响应文件封面 近三年无重大违法、违纪书面声明 残疾人福利性单位声明函 服务方案 标的清单 响应函 书面声明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响应文件封面、响应函、法定代表人（负责人）授权委托书三处的项目名称、项目编号、标段（如有）</w:t>
            </w:r>
          </w:p>
        </w:tc>
        <w:tc>
          <w:tcPr>
            <w:tcW w:type="dxa" w:w="3322"/>
          </w:tcPr>
          <w:p>
            <w:pPr>
              <w:pStyle w:val="null3"/>
            </w:pPr>
            <w:r>
              <w:rPr>
                <w:rFonts w:ascii="仿宋_GB2312" w:hAnsi="仿宋_GB2312" w:cs="仿宋_GB2312" w:eastAsia="仿宋_GB2312"/>
              </w:rPr>
              <w:t>三处均无遗漏，且与所投项目名称、项目编号、标段（如有）一致。</w:t>
            </w:r>
          </w:p>
        </w:tc>
        <w:tc>
          <w:tcPr>
            <w:tcW w:type="dxa" w:w="1661"/>
          </w:tcPr>
          <w:p>
            <w:pPr>
              <w:pStyle w:val="null3"/>
            </w:pPr>
            <w:r>
              <w:rPr>
                <w:rFonts w:ascii="仿宋_GB2312" w:hAnsi="仿宋_GB2312" w:cs="仿宋_GB2312" w:eastAsia="仿宋_GB2312"/>
              </w:rPr>
              <w:t>服务内容及服务邀请应答表 保证金汇款声明函 分项报价表 中小企业声明函 商务应答表 供应商应提交的相关资格证明材料 报价表 非联合体不分包响应声明 控股管理关系 法定代表人授权书 响应文件封面 近三年无重大违法、违纪书面声明 残疾人福利性单位声明函 服务方案 标的清单 响应函 书面声明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均按磋商文件要求签字、盖章（评分标准中要求提供的证明材料除外）。</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响应报价表</w:t>
            </w:r>
          </w:p>
        </w:tc>
        <w:tc>
          <w:tcPr>
            <w:tcW w:type="dxa" w:w="3322"/>
          </w:tcPr>
          <w:p>
            <w:pPr>
              <w:pStyle w:val="null3"/>
            </w:pPr>
            <w:r>
              <w:rPr>
                <w:rFonts w:ascii="仿宋_GB2312" w:hAnsi="仿宋_GB2312" w:cs="仿宋_GB2312" w:eastAsia="仿宋_GB2312"/>
              </w:rPr>
              <w:t>（1）响应报价符合唯一性要求： （2）响应报价表填写符合要求； （3）计量单位、报价货币均符合磋商文件要求； （4）未超出采购预算或磋商文件规定的最高限价。</w:t>
            </w:r>
          </w:p>
        </w:tc>
        <w:tc>
          <w:tcPr>
            <w:tcW w:type="dxa" w:w="1661"/>
          </w:tcPr>
          <w:p>
            <w:pPr>
              <w:pStyle w:val="null3"/>
            </w:pPr>
            <w:r>
              <w:rPr>
                <w:rFonts w:ascii="仿宋_GB2312" w:hAnsi="仿宋_GB2312" w:cs="仿宋_GB2312" w:eastAsia="仿宋_GB2312"/>
              </w:rPr>
              <w:t>分项报价表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完全理解接受并签署磋商文件商务条款响应表。</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保证金交纳符合磋商文件要求。</w:t>
            </w:r>
          </w:p>
        </w:tc>
        <w:tc>
          <w:tcPr>
            <w:tcW w:type="dxa" w:w="1661"/>
          </w:tcPr>
          <w:p>
            <w:pPr>
              <w:pStyle w:val="null3"/>
            </w:pPr>
            <w:r>
              <w:rPr>
                <w:rFonts w:ascii="仿宋_GB2312" w:hAnsi="仿宋_GB2312" w:cs="仿宋_GB2312" w:eastAsia="仿宋_GB2312"/>
              </w:rPr>
              <w:t>保证金汇款声明函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技术参数响应清晰明确，符合使用要求，技术指标和性能完全响应招标文件要求，满足使用需求，并提供相关证明材料，计17分。结合证明材料，按招标文件内配置最低要求，标注“▲”的参数，出现1个负偏离或不满足，扣1分。扣完为止。 投标人须提供相关证明材料（证明材料包括但不限于第三方机构出具的检测报告或功能截图或产品说明书或技术参数白皮书等，加盖投标人公章），参数中对证明材料有要求的，按照参数中要求提供，否则自行承担未提供证明材料导致技术参数被视为负偏离的风险。</w:t>
            </w:r>
          </w:p>
        </w:tc>
        <w:tc>
          <w:tcPr>
            <w:tcW w:type="dxa" w:w="831"/>
          </w:tcPr>
          <w:p>
            <w:pPr>
              <w:pStyle w:val="null3"/>
              <w:jc w:val="right"/>
            </w:pPr>
            <w:r>
              <w:rPr>
                <w:rFonts w:ascii="仿宋_GB2312" w:hAnsi="仿宋_GB2312" w:cs="仿宋_GB2312" w:eastAsia="仿宋_GB2312"/>
              </w:rPr>
              <w:t>17.0000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功能演示</w:t>
            </w:r>
          </w:p>
        </w:tc>
        <w:tc>
          <w:tcPr>
            <w:tcW w:type="dxa" w:w="2492"/>
          </w:tcPr>
          <w:p>
            <w:pPr>
              <w:pStyle w:val="null3"/>
            </w:pPr>
            <w:r>
              <w:rPr>
                <w:rFonts w:ascii="仿宋_GB2312" w:hAnsi="仿宋_GB2312" w:cs="仿宋_GB2312" w:eastAsia="仿宋_GB2312"/>
              </w:rPr>
              <w:t>功能演示：投标人需自行准备演示设备，不接受PPT、视频播放方式演示，原型展示、未演示或演示不符合要求的均不予认可，演示时间不超过15分钟。（全部演示成功得6分； 每有一项不满足或者不演示扣2分。） 1.所投执法记录仪集群对讲功能演示，进行一对多（共三台）的语音组呼，单个组内发起的一种半双工语音呼叫，通话建立后，同一时刻只能有一个获得话权的组成员说话，其它成员收听。声音清晰、不掉字。 2.调度台支持视频转发功能，调度台将上拉的视频转发给其他执法记录仪，只能看到转发的视频，不可以申请话权。 3.调度台支持视频组呼功能，当组呼建立后，发起方获得首次话权，其他组员在发起方讲完话后可申请话权。通话过程中只能一个组员发送语音和视频，其他组员只能接收讲话人的语音和视频。</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供应商应提供有利于本项目快速实施的方案和计划需要，针对本项目有具体的项目实施方案、进度计划验收方案、质量和风险控制、组织机构、工作时间进度表、工作程序和步骤、管理和协调方法、关键步骤的思路等。 1.方案层次清晰，内容详实，充分考虑用户实际需求，采用的技术先进、成熟、稳定、安全，配置合理，功能达到或优于招标文件的要求，能充分满足需求中的各项要求，得8分； 2.基本满足项目要求，可行性、技术结构一般，得5分； 4.项目要求有缺陷，可行性、技术结构不强的得3分； 5.本项内容未响应不得分。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质量保障方案</w:t>
            </w:r>
          </w:p>
        </w:tc>
        <w:tc>
          <w:tcPr>
            <w:tcW w:type="dxa" w:w="2492"/>
          </w:tcPr>
          <w:p>
            <w:pPr>
              <w:pStyle w:val="null3"/>
            </w:pPr>
            <w:r>
              <w:rPr>
                <w:rFonts w:ascii="仿宋_GB2312" w:hAnsi="仿宋_GB2312" w:cs="仿宋_GB2312" w:eastAsia="仿宋_GB2312"/>
              </w:rPr>
              <w:t>建立有项目质量保证体系，包括项目风险分析管理与控制、项目配置管理、项目沟通管理、项目变更管理等内容。 1.质量保障方案内容完整，结构清晰，科学合理，可操作性强，能完全满足项目需求得8分； 2.质量保障方案无重大缺项，有一定合理性和可操作性，基本满足项目需求得5分； 3.质量保障方案缺项较多，未能准确描述方案内容，得3分； 4.未提供不得分。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有可靠的售后服务承诺和措施，产品制造商售后服务在本地售后服务机构运行正常，能够在报修后2小时响应时间，如需要现场维修,专业工程师应在12小时内到达现场,24小时内完成修复，由评标委员会综合评审，根据售后到达响应情况（如有本地服务，可提供相关证明材料）响应方案完善，内容全面可行得5分，基本可行得3分，不完善有欠缺得1分，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供应商提供完善可行的技术培训方案，根据提供的技术培训方案能否结合项目要求及培训人员与经验，进行综合赋分： 1.满足并高于招标文件要求的得8分； 2.技术培训标准和条件基本满足招标文件要求的得5分； 3.有技术培训标准和条件得得3分； 4.不提供培训方案或培训方案不满足采购人要求不得分；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实施进度保障</w:t>
            </w:r>
          </w:p>
        </w:tc>
        <w:tc>
          <w:tcPr>
            <w:tcW w:type="dxa" w:w="2492"/>
          </w:tcPr>
          <w:p>
            <w:pPr>
              <w:pStyle w:val="null3"/>
            </w:pPr>
            <w:r>
              <w:rPr>
                <w:rFonts w:ascii="仿宋_GB2312" w:hAnsi="仿宋_GB2312" w:cs="仿宋_GB2312" w:eastAsia="仿宋_GB2312"/>
              </w:rPr>
              <w:t>项目总体进度计划安排具有合理性、先进性、可靠性和安全性。总体进度充分满足或优于于招标文件要求得5分；总体进度基本满足招标文件要求得3分；总体进度计划存在缺漏的得1分；未提供不得分；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供应商应为采购人提供相关经验丰富、专业的项目团队，提供项目团队各成员的学历证书以及相关项目业绩经验； 1.项目团队人员充足，岗位职责划分明确，从业经验丰富，专业性强，得5分； 2.项目团队人员数量满足项目基本要求，岗位职责划分较明确，有相关从业经验得3分。 4.项目团队人员数量满足项目基本要求，得1分； 5.未提供的不得分；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供应商提供2022年1月1日同类业绩的合同，每个同类业绩得2分，满分8分。（须提供合同完整复印件加盖公章）。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价格分统一采用低价优先法计算，即满足磋商文件要求且最低的响应报价为基准价，其价格分为满分。其他供应商的价格分统一按照下列公式计算： 响应报价得分=(基准价／响应报价)×价格权值×100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详见附件：保证金汇款声明函</w:t>
      </w:r>
    </w:p>
    <w:p>
      <w:pPr>
        <w:pStyle w:val="null3"/>
        <w:ind w:firstLine="960"/>
      </w:pPr>
      <w:r>
        <w:rPr>
          <w:rFonts w:ascii="仿宋_GB2312" w:hAnsi="仿宋_GB2312" w:cs="仿宋_GB2312" w:eastAsia="仿宋_GB2312"/>
        </w:rPr>
        <w:t>详见附件：法定代表人授权书</w:t>
      </w:r>
    </w:p>
    <w:p>
      <w:pPr>
        <w:pStyle w:val="null3"/>
        <w:ind w:firstLine="960"/>
      </w:pPr>
      <w:r>
        <w:rPr>
          <w:rFonts w:ascii="仿宋_GB2312" w:hAnsi="仿宋_GB2312" w:cs="仿宋_GB2312" w:eastAsia="仿宋_GB2312"/>
        </w:rPr>
        <w:t>详见附件：非联合体不分包响应声明</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详见附件：近三年无重大违法、违纪书面声明</w:t>
      </w:r>
    </w:p>
    <w:p>
      <w:pPr>
        <w:pStyle w:val="null3"/>
        <w:ind w:firstLine="960"/>
      </w:pPr>
      <w:r>
        <w:rPr>
          <w:rFonts w:ascii="仿宋_GB2312" w:hAnsi="仿宋_GB2312" w:cs="仿宋_GB2312" w:eastAsia="仿宋_GB2312"/>
        </w:rPr>
        <w:t>详见附件：控股管理关系</w:t>
      </w:r>
    </w:p>
    <w:p>
      <w:pPr>
        <w:pStyle w:val="null3"/>
        <w:ind w:firstLine="960"/>
      </w:pPr>
      <w:r>
        <w:rPr>
          <w:rFonts w:ascii="仿宋_GB2312" w:hAnsi="仿宋_GB2312" w:cs="仿宋_GB2312" w:eastAsia="仿宋_GB2312"/>
        </w:rPr>
        <w:t>详见附件：书面声明</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