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版本号：SCIT-ZT-SX202510000420251105001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太赫兹时域光谱仪设备采购项目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SCIT-ZT-SX2025100004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太赫兹时域光谱仪设备采购项目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SCIT-ZT-SX2025100004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太赫兹时域光谱仪设备采购项目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本项目共1个包，采购太赫兹时域光谱仪1套并安装调试到位（已做进口论证，允许采购进口产品，具体详见谈判文件）； 项目用途：太赫兹时域光谱仪采购并安装调试到位； 采购预算：1600000.00 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谈判只须提交其身份证明）：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所响应产品为进口产品的，须提供所响应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所响应产品为进口产品的，须提供所响应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银行账号：9902001832810442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说明：签订合同前，成交供应商应向采购人缴纳成交金额5%的履约保证金。项目验收合格后，采购人一次性无息退还5%的履约保证金给成交人。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50万元以下的按标准收费，50万元及以上的下浮20%计取费用，按规定计取的费用进行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四川国际招标有限责任公司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中标人共同对设备进行开箱检查，检查内容包括：设备名称、规格型号、配置要求、制造商、原产地等。若设备与合同要求不符，采购人将拒绝接收。（2）技术验收：交收检验合格后，设备由中标人负责安装调试。安装调试完毕后，中标人提交验收文件，由使用单位对设备进行技术验收（中标人协助），验收以国家相关验收标准或以合同文本中描述的有关技术要求为准。（3）最终验收：技术验收合格后，采购人根据使用单位技术验收报告，组织有关专家对设备进行最终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本项目共1个包，采购太赫兹时域光谱仪1套并安装调试到位（已做进口论证，允许采购进口产品，具体详见谈判文件）； 项目用途：太赫兹时域光谱仪采购并安装调试到位； 采购预算：1600000.00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太赫兹时域光谱仪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标的名称：太赫兹时域光谱仪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、太赫兹光谱范围</w:t>
            </w:r>
            <w:r>
              <w:rPr>
                <w:rFonts w:ascii="仿宋_GB2312" w:hAnsi="仿宋_GB2312" w:cs="仿宋_GB2312" w:eastAsia="仿宋_GB2312"/>
                <w:sz w:val="21"/>
              </w:rPr>
              <w:t>最大值</w:t>
            </w:r>
            <w:r>
              <w:rPr>
                <w:rFonts w:ascii="仿宋_GB2312" w:hAnsi="仿宋_GB2312" w:cs="仿宋_GB2312" w:eastAsia="仿宋_GB2312"/>
                <w:sz w:val="21"/>
              </w:rPr>
              <w:t>: ≥ 6 THz (typ. 6.5 THz)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、动态范围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 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、延迟扫描最大范围：</w:t>
            </w:r>
            <w:r>
              <w:rPr>
                <w:rFonts w:ascii="仿宋_GB2312" w:hAnsi="仿宋_GB2312" w:cs="仿宋_GB2312" w:eastAsia="仿宋_GB2312"/>
                <w:sz w:val="21"/>
              </w:rPr>
              <w:t>≥2500 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、扫描速度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5</w:t>
            </w:r>
            <w:r>
              <w:rPr>
                <w:rFonts w:ascii="仿宋_GB2312" w:hAnsi="仿宋_GB2312" w:cs="仿宋_GB2312" w:eastAsia="仿宋_GB2312"/>
                <w:sz w:val="21"/>
              </w:rPr>
              <w:t xml:space="preserve"> traces/s (5 ps)</w:t>
            </w:r>
          </w:p>
          <w:p>
            <w:pPr>
              <w:pStyle w:val="null3"/>
              <w:jc w:val="both"/>
            </w:pPr>
            <w:r>
              <w:rPr>
                <w:rFonts w:ascii="仿宋_GB2312" w:hAnsi="仿宋_GB2312" w:cs="仿宋_GB2312" w:eastAsia="仿宋_GB2312"/>
                <w:sz w:val="21"/>
              </w:rPr>
              <w:t>≥95 traces/s (20 ps)</w:t>
            </w:r>
          </w:p>
          <w:p>
            <w:pPr>
              <w:pStyle w:val="null3"/>
              <w:jc w:val="both"/>
            </w:pPr>
            <w:r>
              <w:rPr>
                <w:rFonts w:ascii="仿宋_GB2312" w:hAnsi="仿宋_GB2312" w:cs="仿宋_GB2312" w:eastAsia="仿宋_GB2312"/>
                <w:sz w:val="21"/>
              </w:rPr>
              <w:t>≥60 traces/s (50 ps)</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 xml:space="preserve"> traces/s (200 ps)</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、可通过内置的调节太赫兹光路光程，光路最大光程</w:t>
            </w:r>
            <w:r>
              <w:rPr>
                <w:rFonts w:ascii="仿宋_GB2312" w:hAnsi="仿宋_GB2312" w:cs="仿宋_GB2312" w:eastAsia="仿宋_GB2312"/>
                <w:sz w:val="21"/>
              </w:rPr>
              <w:t>: ≥110 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、最大光谱分辨率：</w:t>
            </w:r>
            <w:r>
              <w:rPr>
                <w:rFonts w:ascii="仿宋_GB2312" w:hAnsi="仿宋_GB2312" w:cs="仿宋_GB2312" w:eastAsia="仿宋_GB2312"/>
                <w:sz w:val="21"/>
              </w:rPr>
              <w:t>≤0.4 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、太赫兹信号平均功率：＞</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μ</w:t>
            </w:r>
            <w:r>
              <w:rPr>
                <w:rFonts w:ascii="仿宋_GB2312" w:hAnsi="仿宋_GB2312" w:cs="仿宋_GB2312" w:eastAsia="仿宋_GB2312"/>
                <w:sz w:val="21"/>
              </w:rPr>
              <w:t>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、光纤飞秒激光器：</w:t>
            </w:r>
            <w:r>
              <w:rPr>
                <w:rFonts w:ascii="仿宋_GB2312" w:hAnsi="仿宋_GB2312" w:cs="仿宋_GB2312" w:eastAsia="仿宋_GB2312"/>
                <w:sz w:val="21"/>
              </w:rPr>
              <w:t>≥1560nm</w:t>
            </w:r>
            <w:r>
              <w:rPr>
                <w:rFonts w:ascii="仿宋_GB2312" w:hAnsi="仿宋_GB2312" w:cs="仿宋_GB2312" w:eastAsia="仿宋_GB2312"/>
                <w:sz w:val="21"/>
              </w:rPr>
              <w:t>，激光器脉宽＜</w:t>
            </w:r>
            <w:r>
              <w:rPr>
                <w:rFonts w:ascii="仿宋_GB2312" w:hAnsi="仿宋_GB2312" w:cs="仿宋_GB2312" w:eastAsia="仿宋_GB2312"/>
                <w:sz w:val="21"/>
              </w:rPr>
              <w:t xml:space="preserve">80fs, </w:t>
            </w:r>
            <w:r>
              <w:rPr>
                <w:rFonts w:ascii="仿宋_GB2312" w:hAnsi="仿宋_GB2312" w:cs="仿宋_GB2312" w:eastAsia="仿宋_GB2312"/>
                <w:sz w:val="21"/>
              </w:rPr>
              <w:t>重复频率</w:t>
            </w:r>
            <w:r>
              <w:rPr>
                <w:rFonts w:ascii="仿宋_GB2312" w:hAnsi="仿宋_GB2312" w:cs="仿宋_GB2312" w:eastAsia="仿宋_GB2312"/>
                <w:sz w:val="21"/>
              </w:rPr>
              <w:t>≥100MHz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、太赫兹激发和发射天线，光纤尾纤长度</w:t>
            </w:r>
            <w:r>
              <w:rPr>
                <w:rFonts w:ascii="仿宋_GB2312" w:hAnsi="仿宋_GB2312" w:cs="仿宋_GB2312" w:eastAsia="仿宋_GB2312"/>
                <w:sz w:val="21"/>
              </w:rPr>
              <w:t>≥2.5m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、测试接口数：</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、成像模块扫描行程：</w:t>
            </w:r>
            <w:r>
              <w:rPr>
                <w:rFonts w:ascii="仿宋_GB2312" w:hAnsi="仿宋_GB2312" w:cs="仿宋_GB2312" w:eastAsia="仿宋_GB2312"/>
                <w:sz w:val="21"/>
              </w:rPr>
              <w:t>≥150mm x150mm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、成像最大扫描速度：</w:t>
            </w:r>
            <w:r>
              <w:rPr>
                <w:rFonts w:ascii="仿宋_GB2312" w:hAnsi="仿宋_GB2312" w:cs="仿宋_GB2312" w:eastAsia="仿宋_GB2312"/>
                <w:sz w:val="21"/>
              </w:rPr>
              <w:t xml:space="preserve">≥40 </w:t>
            </w: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秒</w:t>
            </w:r>
            <w:r>
              <w:rPr>
                <w:rFonts w:ascii="仿宋_GB2312" w:hAnsi="仿宋_GB2312" w:cs="仿宋_GB2312" w:eastAsia="仿宋_GB2312"/>
                <w:sz w:val="21"/>
              </w:rPr>
              <w:t>@20ps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、成像模块入射角：</w:t>
            </w:r>
            <w:r>
              <w:rPr>
                <w:rFonts w:ascii="仿宋_GB2312" w:hAnsi="仿宋_GB2312" w:cs="仿宋_GB2312" w:eastAsia="仿宋_GB2312"/>
                <w:sz w:val="21"/>
              </w:rPr>
              <w:t>± 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、成像放置样品最大重量：</w:t>
            </w:r>
            <w:r>
              <w:rPr>
                <w:rFonts w:ascii="仿宋_GB2312" w:hAnsi="仿宋_GB2312" w:cs="仿宋_GB2312" w:eastAsia="仿宋_GB2312"/>
                <w:sz w:val="21"/>
              </w:rPr>
              <w:t>≥2 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 配置透射光路一套，必须使用抛物面镜，实现太赫兹光路准直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16.1</w:t>
            </w:r>
            <w:r>
              <w:rPr>
                <w:rFonts w:ascii="仿宋_GB2312" w:hAnsi="仿宋_GB2312" w:cs="仿宋_GB2312" w:eastAsia="仿宋_GB2312"/>
                <w:sz w:val="21"/>
              </w:rPr>
              <w:t>、太赫兹时域光谱仪主机一台（包含飞秒激光器一台，激光输出功率稳定装置，机械延迟台）；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2</w:t>
            </w:r>
            <w:r>
              <w:rPr>
                <w:rFonts w:ascii="仿宋_GB2312" w:hAnsi="仿宋_GB2312" w:cs="仿宋_GB2312" w:eastAsia="仿宋_GB2312"/>
                <w:sz w:val="21"/>
              </w:rPr>
              <w:t>、测试软件</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3</w:t>
            </w:r>
            <w:r>
              <w:rPr>
                <w:rFonts w:ascii="仿宋_GB2312" w:hAnsi="仿宋_GB2312" w:cs="仿宋_GB2312" w:eastAsia="仿宋_GB2312"/>
                <w:sz w:val="21"/>
              </w:rPr>
              <w:t>、太赫兹发射天线一根；</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4</w:t>
            </w:r>
            <w:r>
              <w:rPr>
                <w:rFonts w:ascii="仿宋_GB2312" w:hAnsi="仿宋_GB2312" w:cs="仿宋_GB2312" w:eastAsia="仿宋_GB2312"/>
                <w:sz w:val="21"/>
              </w:rPr>
              <w:t>、太赫兹接受天线一根；</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 xml:space="preserve">USB-LAN </w:t>
            </w:r>
            <w:r>
              <w:rPr>
                <w:rFonts w:ascii="仿宋_GB2312" w:hAnsi="仿宋_GB2312" w:cs="仿宋_GB2312" w:eastAsia="仿宋_GB2312"/>
                <w:sz w:val="21"/>
              </w:rPr>
              <w:t>网络适配器</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6</w:t>
            </w:r>
            <w:r>
              <w:rPr>
                <w:rFonts w:ascii="仿宋_GB2312" w:hAnsi="仿宋_GB2312" w:cs="仿宋_GB2312" w:eastAsia="仿宋_GB2312"/>
                <w:sz w:val="21"/>
              </w:rPr>
              <w:t>、太赫兹成像扩展模块</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7</w:t>
            </w:r>
            <w:r>
              <w:rPr>
                <w:rFonts w:ascii="仿宋_GB2312" w:hAnsi="仿宋_GB2312" w:cs="仿宋_GB2312" w:eastAsia="仿宋_GB2312"/>
                <w:sz w:val="21"/>
              </w:rPr>
              <w:t>、太赫兹光学组件包含：</w:t>
            </w:r>
            <w:r>
              <w:rPr>
                <w:rFonts w:ascii="仿宋_GB2312" w:hAnsi="仿宋_GB2312" w:cs="仿宋_GB2312" w:eastAsia="仿宋_GB2312"/>
                <w:sz w:val="21"/>
              </w:rPr>
              <w:t xml:space="preserve">2 </w:t>
            </w:r>
            <w:r>
              <w:rPr>
                <w:rFonts w:ascii="仿宋_GB2312" w:hAnsi="仿宋_GB2312" w:cs="仿宋_GB2312" w:eastAsia="仿宋_GB2312"/>
                <w:sz w:val="21"/>
              </w:rPr>
              <w:t>个抛物面反射镜</w:t>
            </w:r>
            <w:r>
              <w:rPr>
                <w:rFonts w:ascii="仿宋_GB2312" w:hAnsi="仿宋_GB2312" w:cs="仿宋_GB2312" w:eastAsia="仿宋_GB2312"/>
                <w:sz w:val="21"/>
              </w:rPr>
              <w:t>；</w:t>
            </w:r>
          </w:p>
          <w:p>
            <w:pPr>
              <w:pStyle w:val="null3"/>
            </w:pPr>
            <w:r>
              <w:rPr>
                <w:rFonts w:ascii="仿宋_GB2312" w:hAnsi="仿宋_GB2312" w:cs="仿宋_GB2312" w:eastAsia="仿宋_GB2312"/>
              </w:rPr>
              <w:t>16.8</w:t>
            </w:r>
            <w:r>
              <w:rPr>
                <w:rFonts w:ascii="仿宋_GB2312" w:hAnsi="仿宋_GB2312" w:cs="仿宋_GB2312" w:eastAsia="仿宋_GB2312"/>
              </w:rPr>
              <w:t>、数据处理器一台</w:t>
            </w:r>
          </w:p>
          <w:p>
            <w:pPr>
              <w:pStyle w:val="null3"/>
              <w:jc w:val="both"/>
            </w:pPr>
            <w:r>
              <w:rPr>
                <w:rFonts w:ascii="仿宋_GB2312" w:hAnsi="仿宋_GB2312" w:cs="仿宋_GB2312" w:eastAsia="仿宋_GB2312"/>
                <w:sz w:val="21"/>
              </w:rPr>
              <w:t>注：所有</w:t>
            </w:r>
            <w:r>
              <w:rPr>
                <w:rFonts w:ascii="仿宋_GB2312" w:hAnsi="仿宋_GB2312" w:cs="仿宋_GB2312" w:eastAsia="仿宋_GB2312"/>
                <w:sz w:val="21"/>
                <w:color w:val="000000"/>
              </w:rPr>
              <w:t>★</w:t>
            </w:r>
            <w:r>
              <w:rPr>
                <w:rFonts w:ascii="仿宋_GB2312" w:hAnsi="仿宋_GB2312" w:cs="仿宋_GB2312" w:eastAsia="仿宋_GB2312"/>
                <w:sz w:val="21"/>
                <w:color w:val="000000"/>
              </w:rPr>
              <w:t>号</w:t>
            </w:r>
            <w:r>
              <w:rPr>
                <w:rFonts w:ascii="仿宋_GB2312" w:hAnsi="仿宋_GB2312" w:cs="仿宋_GB2312" w:eastAsia="仿宋_GB2312"/>
                <w:sz w:val="21"/>
              </w:rPr>
              <w:t>技术参数均</w:t>
            </w:r>
            <w:r>
              <w:rPr>
                <w:rFonts w:ascii="仿宋_GB2312" w:hAnsi="仿宋_GB2312" w:cs="仿宋_GB2312" w:eastAsia="仿宋_GB2312"/>
                <w:sz w:val="21"/>
              </w:rPr>
              <w:t>为实质性要求，负偏离视为无效响应文件</w:t>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号</w:t>
            </w:r>
            <w:r>
              <w:rPr>
                <w:rFonts w:ascii="仿宋_GB2312" w:hAnsi="仿宋_GB2312" w:cs="仿宋_GB2312" w:eastAsia="仿宋_GB2312"/>
                <w:sz w:val="21"/>
              </w:rPr>
              <w:t>技术参数必须提供佐证材料（包括但不限于产品彩页</w:t>
            </w:r>
            <w:r>
              <w:rPr>
                <w:rFonts w:ascii="仿宋_GB2312" w:hAnsi="仿宋_GB2312" w:cs="仿宋_GB2312" w:eastAsia="仿宋_GB2312"/>
                <w:sz w:val="21"/>
              </w:rPr>
              <w:t>或</w:t>
            </w:r>
            <w:r>
              <w:rPr>
                <w:rFonts w:ascii="仿宋_GB2312" w:hAnsi="仿宋_GB2312" w:cs="仿宋_GB2312" w:eastAsia="仿宋_GB2312"/>
                <w:sz w:val="21"/>
              </w:rPr>
              <w:t>厂家技术白皮书</w:t>
            </w:r>
            <w:r>
              <w:rPr>
                <w:rFonts w:ascii="仿宋_GB2312" w:hAnsi="仿宋_GB2312" w:cs="仿宋_GB2312" w:eastAsia="仿宋_GB2312"/>
                <w:sz w:val="21"/>
              </w:rPr>
              <w:t>或</w:t>
            </w:r>
            <w:r>
              <w:rPr>
                <w:rFonts w:ascii="仿宋_GB2312" w:hAnsi="仿宋_GB2312" w:cs="仿宋_GB2312" w:eastAsia="仿宋_GB2312"/>
                <w:sz w:val="21"/>
              </w:rPr>
              <w:t>官网截图</w:t>
            </w:r>
            <w:r>
              <w:rPr>
                <w:rFonts w:ascii="仿宋_GB2312" w:hAnsi="仿宋_GB2312" w:cs="仿宋_GB2312" w:eastAsia="仿宋_GB2312"/>
                <w:sz w:val="21"/>
              </w:rPr>
              <w:t>或检测报告</w:t>
            </w:r>
            <w:r>
              <w:rPr>
                <w:rFonts w:ascii="仿宋_GB2312" w:hAnsi="仿宋_GB2312" w:cs="仿宋_GB2312" w:eastAsia="仿宋_GB2312"/>
                <w:sz w:val="21"/>
              </w:rPr>
              <w:t>等</w:t>
            </w:r>
            <w:r>
              <w:rPr>
                <w:rFonts w:ascii="仿宋_GB2312" w:hAnsi="仿宋_GB2312" w:cs="仿宋_GB2312" w:eastAsia="仿宋_GB2312"/>
                <w:sz w:val="21"/>
              </w:rPr>
              <w:t>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进口产品：签订合同后 90日历日内供货并安装调试完毕； 国产产品：签订合同后 45日历日内供货并安装调试完毕.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国产产品： 付款条件说明：合同签订后，达到付款条件起 10日内，支付合同总金额的80.00%。 付款条件说明： 货到安装调试完成后 ，达到付款条件起 10 日内，支付合同总金额的 10.00%。 付款条件说明： 待验收合格后，凭成交供应商开具全额增值税专用发票 ，达到付款条件起 10 日内，支付合同总金额的 10.00%。 进口产品： 付款条件说明： 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 验收分为三个阶段：交收检验、技术验收和最终验收。（1）交收检验：设备到货后10个日历日内，由采购人、中标人共同对设备进行开箱检查，检查内容包括：设备名称、规格型号、配置要求、制造商、原产地等。若设备与合同要求不符，采购人将拒绝接收。（2）技术验收：交收检验合格后，设备由中标人负责安装调试。安装调试完毕后，中标人提交验收文件，由使用单位对设备进行技术验收（中标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验、商务等均要符合中华人民共和国的有关法律、法规；成交人必须承担因所供设备而引起的全部法律责任。 2）项目质保期自验收之日起不得少于1年，供应商承诺的质保时间超过上述要求的，按其承诺时间执行。质保期内成交人应提供维修服务及本项目中货物的维修所需零配件，质保期内维修或更换产生的材料费及人工费属于质保范畴不再单独收费；供应商需要返厂维修或更换的，需要供应商承担设备流转所产生的费用，包括检验费、运费、保险费、仓储费和装卸费。质保期满后，成交人负责有偿维修，货物维修更换的零部件只收取材料成本费用。 3）供应商须免费提供一次设备移机服务。 4）售后服务及培训要求： 1.成交人负责设备安装交付，保证设备在进行安装运行等过程中损坏的或有缺陷的部件可方便地得到修理和更换，质量保证期内的维护、修理及软件系统的维护升级，以及质量保证期后的维护指导和终身维修等；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 设备安装调试完毕后，成交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仲裁费应由败诉方负担。在仲裁期间，除正在进行仲裁部分外，合同其他部分继续执行。具体竞争性谈判文件及合同要求。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注：1）3.4商务要求不允许负偏离。2,因系统固化原因，本项目支付方式及约定以此为准： 国产产品：支付方式分期付款；付款条件说明：合同签订后，达到付款条件起 10日内，支付合同总金额的 80.00%。付款条件说明： 货到安装调试完成后 ，达到付款条件起 10 日内，支付合同总金额的 10.00%。付款条件说明： 待验收合格后，凭成交供应商开具全额增值税专用发票 ，达到付款条件起 10 日内，支付合同总金额的 10.00%。 进口产品：支付方式一次付清，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若为事业法人：提供“统一社会信用代码法人登记证书”；未换证的提交“事业法人登记证书、组织机构代码证”；③若为其他组织：提供“对应主管部门颁发的准许执业证明文件或营业执照” ; ④若为自然人：提供“身份证明材料”。以上均 提供复印件） 2.具备良好商业信誉的证明材料（按照谈判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债表），③也可提供截至响应文件递交截止日一年内银行出具的资信证明（复印件），④供应商注册时间截至响应文件递交截止日不足一年的,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(①社会保障资金缴纳证明：提供2024年9月1日至今已缴存的任一月份的社会保障资金缴存单据或社保机构开具的社会保险参保缴费情况证明，依法不需要缴纳社会保障资金的供应商应提供相关文件证明； ）；②提供2024年9月1日至今已缴纳的至少一个月的纳税证明或完税证明，依法免税的单位应提供相关证明材料）；5.具备履行合同所必需的设备和专业技术能力的证明材料（按照谈判文件格式提供承诺函）；6.参加政府采购活动前3年内在经营活动中没有重大违法记录的承诺函（按照谈判文件格式提供 承诺函）；7.具备法律、行政法规规定的其他条件的证明材料（按照谈判文件格式提供承诺函）；供应商需在项目电子化交易系统中按要求填写《响应函》完成承诺并进行电子签章。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法定代表人授权书及被授权人身份证明（法定代表人直接参与谈判只须提交其身份证明）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谈判只须提交其身份证明），供应商须根据谈判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响应产品为进口产品的，须提供所响应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w:t>
            </w:r>
          </w:p>
        </w:tc>
        <w:tc>
          <w:tcPr>
            <w:tcW w:type="dxa" w:w="3322"/>
          </w:tcPr>
          <w:p>
            <w:pPr>
              <w:pStyle w:val="null3"/>
            </w:pPr>
            <w:r>
              <w:rPr>
                <w:rFonts w:ascii="仿宋_GB2312" w:hAnsi="仿宋_GB2312" w:cs="仿宋_GB2312" w:eastAsia="仿宋_GB2312"/>
              </w:rPr>
              <w:t>所响应产品为进口产品的，须提供所响应产品厂家授权书或总代理商授权书或具有授权权限的代理商对响应产品的授权（提供总代理商授权书或具有授权权限的代理商授权书的须出具有效授权权限的相关证明文件，证明文件须能显示产品制造厂家对所响应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产品技术响应表.docx 商务应答表 响应文件其他格式.docx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3322"/>
          </w:tcPr>
          <w:p>
            <w:pPr>
              <w:pStyle w:val="null3"/>
            </w:pPr>
            <w:r>
              <w:rPr>
                <w:rFonts w:ascii="仿宋_GB2312" w:hAnsi="仿宋_GB2312" w:cs="仿宋_GB2312" w:eastAsia="仿宋_GB2312"/>
              </w:rPr>
              <w:t>1.响应文件组成明显不符合谈判文件的规定要求,影响谈判小组评判的；2.响应文件的格式、语言、计量单位、报价货币、知识产权、投标有效期等不符合谈判文件的规定，影响谈判小组评判的； 3.谈判报价不符合谈判文件规定的采购预算或限价或其他报价规定的；4.商务、技术、服务应答内容没有完全响应谈判文件的实质性要求的；5.未载明或者载明的采购项目履约时间、方式、数量及其他政府采购合 同实质性内容与谈判文件要求不一致，且招标采购单位无法接受的。 6.未按文件要求交纳保证金； 7.没有完全响应谈判文件的其他实质性要求或属于谈判文件中响应无效情形的。</w:t>
            </w:r>
          </w:p>
        </w:tc>
        <w:tc>
          <w:tcPr>
            <w:tcW w:type="dxa" w:w="1661"/>
          </w:tcPr>
          <w:p>
            <w:pPr>
              <w:pStyle w:val="null3"/>
            </w:pPr>
            <w:r>
              <w:rPr>
                <w:rFonts w:ascii="仿宋_GB2312" w:hAnsi="仿宋_GB2312" w:cs="仿宋_GB2312" w:eastAsia="仿宋_GB2312"/>
              </w:rPr>
              <w:t>响应文件封面 产品技术响应表.docx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 -进口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