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版本号：SCIT-ZT-SX202510000320251105001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矢量网络分析仪设备采购项目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SCIT-ZT-SX2025100003</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矢量网络分析仪设备采购项目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SCIT-ZT-SX2025100003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矢量网络分析仪设备采购项目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本项目共1个包，采购矢量网络分析仪1套并安装调试到位（已做进口论证，允许采购进口产品，具体详见谈判文件）； 项目用途：矢量网络分析仪采购并安装调试到位； 采购预算：830000.00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银行账号：9902001832810673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本项目共1个包，采购矢量网络分析仪1套并安装调试到位（已做进口论证，允许采购进口产品，具体详见谈判文件）； 项目用途：矢量网络分析仪采购并安装调试到位； 采购预算：830000.00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矢量网络分析仪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100kHz </w:t>
            </w:r>
            <w:r>
              <w:rPr>
                <w:rFonts w:ascii="仿宋_GB2312" w:hAnsi="仿宋_GB2312" w:cs="仿宋_GB2312" w:eastAsia="仿宋_GB2312"/>
                <w:sz w:val="21"/>
                <w:color w:val="000000"/>
              </w:rPr>
              <w:t xml:space="preserve">至 </w:t>
            </w:r>
            <w:r>
              <w:rPr>
                <w:rFonts w:ascii="仿宋_GB2312" w:hAnsi="仿宋_GB2312" w:cs="仿宋_GB2312" w:eastAsia="仿宋_GB2312"/>
                <w:sz w:val="21"/>
                <w:color w:val="000000"/>
              </w:rPr>
              <w:t xml:space="preserve">43.5GHz </w:t>
            </w:r>
            <w:r>
              <w:rPr>
                <w:rFonts w:ascii="仿宋_GB2312" w:hAnsi="仿宋_GB2312" w:cs="仿宋_GB2312" w:eastAsia="仿宋_GB2312"/>
                <w:sz w:val="21"/>
                <w:color w:val="000000"/>
              </w:rPr>
              <w:t xml:space="preserve">连续波 </w:t>
            </w:r>
            <w:r>
              <w:rPr>
                <w:rFonts w:ascii="仿宋_GB2312" w:hAnsi="仿宋_GB2312" w:cs="仿宋_GB2312" w:eastAsia="仿宋_GB2312"/>
                <w:sz w:val="21"/>
                <w:color w:val="000000"/>
              </w:rPr>
              <w:t xml:space="preserve">S </w:t>
            </w:r>
            <w:r>
              <w:rPr>
                <w:rFonts w:ascii="仿宋_GB2312" w:hAnsi="仿宋_GB2312" w:cs="仿宋_GB2312" w:eastAsia="仿宋_GB2312"/>
                <w:sz w:val="21"/>
                <w:color w:val="000000"/>
              </w:rPr>
              <w:t>参数幅频及相频特性测量与校准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测试端口数量</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个，可支持电压驻波比测试，插入损耗测试，回波损耗测试，隔离度测试，相位测试，阻抗测试，差分测试，平坦度测试，群时延测试；</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能以任意相位和幅度偏置，对单独正向扫描，单独反向扫描，频率或功率扫描提供平衡测量；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扫描点数：</w:t>
            </w:r>
            <w:r>
              <w:rPr>
                <w:rFonts w:ascii="仿宋_GB2312" w:hAnsi="仿宋_GB2312" w:cs="仿宋_GB2312" w:eastAsia="仿宋_GB2312"/>
                <w:sz w:val="21"/>
                <w:color w:val="000000"/>
              </w:rPr>
              <w:t>2-100000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动态范围（非直接接入）：</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MHz≥120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 MHz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 MHz ≥ 125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MHz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 GHz ≥128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 GHz ≥ 125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30 GHz ≥115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35 GHz ≥110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38 GHz ≥ 108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38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 GHz ≥105 dB(typ)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测量端口的规格：</w:t>
            </w:r>
            <w:r>
              <w:rPr>
                <w:rFonts w:ascii="仿宋_GB2312" w:hAnsi="仿宋_GB2312" w:cs="仿宋_GB2312" w:eastAsia="仿宋_GB2312"/>
                <w:sz w:val="21"/>
                <w:color w:val="000000"/>
              </w:rPr>
              <w:t>2.92mm</w:t>
            </w:r>
            <w:r>
              <w:rPr>
                <w:rFonts w:ascii="仿宋_GB2312" w:hAnsi="仿宋_GB2312" w:cs="仿宋_GB2312" w:eastAsia="仿宋_GB2312"/>
                <w:sz w:val="21"/>
                <w:color w:val="000000"/>
              </w:rPr>
              <w:t>（阳性）；端口输出功率：</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300 kHz ≥ +7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+10dBm)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GHz ≥ +10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+12dBm)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 GHz ≥ +8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+10dBm)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 GHz ≥ +6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+8dBm)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15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 GHz ≥ +5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+7dBm)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 GHz ≥ +0 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+4dBm)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 GHz ≥ -2dBm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典型值可达</w:t>
            </w:r>
            <w:r>
              <w:rPr>
                <w:rFonts w:ascii="仿宋_GB2312" w:hAnsi="仿宋_GB2312" w:cs="仿宋_GB2312" w:eastAsia="仿宋_GB2312"/>
                <w:sz w:val="21"/>
                <w:color w:val="000000"/>
              </w:rPr>
              <w:t>+2dBm)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扫描速度：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1.3 ms</w:t>
            </w:r>
            <w:r>
              <w:rPr>
                <w:rFonts w:ascii="仿宋_GB2312" w:hAnsi="仿宋_GB2312" w:cs="仿宋_GB2312" w:eastAsia="仿宋_GB2312"/>
                <w:sz w:val="21"/>
                <w:color w:val="000000"/>
              </w:rPr>
              <w:t>（</w:t>
            </w:r>
            <w:r>
              <w:rPr>
                <w:rFonts w:ascii="仿宋_GB2312" w:hAnsi="仿宋_GB2312" w:cs="仿宋_GB2312" w:eastAsia="仿宋_GB2312"/>
                <w:sz w:val="21"/>
                <w:color w:val="000000"/>
              </w:rPr>
              <w:t>5.1GHz</w:t>
            </w:r>
            <w:r>
              <w:rPr>
                <w:rFonts w:ascii="仿宋_GB2312" w:hAnsi="仿宋_GB2312" w:cs="仿宋_GB2312" w:eastAsia="仿宋_GB2312"/>
                <w:sz w:val="21"/>
                <w:color w:val="000000"/>
              </w:rPr>
              <w:t>中频带宽，</w:t>
            </w:r>
            <w:r>
              <w:rPr>
                <w:rFonts w:ascii="仿宋_GB2312" w:hAnsi="仿宋_GB2312" w:cs="仿宋_GB2312" w:eastAsia="仿宋_GB2312"/>
                <w:sz w:val="21"/>
                <w:color w:val="000000"/>
              </w:rPr>
              <w:t>200MHz</w:t>
            </w:r>
            <w:r>
              <w:rPr>
                <w:rFonts w:ascii="仿宋_GB2312" w:hAnsi="仿宋_GB2312" w:cs="仿宋_GB2312" w:eastAsia="仿宋_GB2312"/>
                <w:sz w:val="21"/>
                <w:color w:val="000000"/>
              </w:rPr>
              <w:t>跨度下，</w:t>
            </w:r>
            <w:r>
              <w:rPr>
                <w:rFonts w:ascii="仿宋_GB2312" w:hAnsi="仿宋_GB2312" w:cs="仿宋_GB2312" w:eastAsia="仿宋_GB2312"/>
                <w:sz w:val="21"/>
                <w:color w:val="000000"/>
              </w:rPr>
              <w:t>1MHz</w:t>
            </w:r>
            <w:r>
              <w:rPr>
                <w:rFonts w:ascii="仿宋_GB2312" w:hAnsi="仿宋_GB2312" w:cs="仿宋_GB2312" w:eastAsia="仿宋_GB2312"/>
                <w:sz w:val="21"/>
                <w:color w:val="000000"/>
              </w:rPr>
              <w:t xml:space="preserve">中频带宽，扫描 </w:t>
            </w:r>
            <w:r>
              <w:rPr>
                <w:rFonts w:ascii="仿宋_GB2312" w:hAnsi="仿宋_GB2312" w:cs="仿宋_GB2312" w:eastAsia="仿宋_GB2312"/>
                <w:sz w:val="21"/>
                <w:color w:val="000000"/>
              </w:rPr>
              <w:t xml:space="preserve">201 </w:t>
            </w:r>
            <w:r>
              <w:rPr>
                <w:rFonts w:ascii="仿宋_GB2312" w:hAnsi="仿宋_GB2312" w:cs="仿宋_GB2312" w:eastAsia="仿宋_GB2312"/>
                <w:sz w:val="21"/>
                <w:color w:val="000000"/>
              </w:rPr>
              <w:t>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底噪声（非直接接入）：</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300 kHz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–110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1 MHz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–115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 MHz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5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–120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–118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35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–115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40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–105 dBm(</w:t>
            </w:r>
            <w:r>
              <w:rPr>
                <w:rFonts w:ascii="仿宋_GB2312" w:hAnsi="仿宋_GB2312" w:cs="仿宋_GB2312" w:eastAsia="仿宋_GB2312"/>
                <w:sz w:val="21"/>
                <w:color w:val="000000"/>
              </w:rPr>
              <w:t>标称值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功率扫描范围：</w:t>
            </w:r>
          </w:p>
          <w:p>
            <w:pPr>
              <w:pStyle w:val="null3"/>
              <w:jc w:val="left"/>
            </w:pPr>
            <w:r>
              <w:rPr>
                <w:rFonts w:ascii="仿宋_GB2312" w:hAnsi="仿宋_GB2312" w:cs="仿宋_GB2312" w:eastAsia="仿宋_GB2312"/>
                <w:sz w:val="21"/>
                <w:color w:val="000000"/>
              </w:rPr>
              <w:t>100 kHz ~ 300 kHz ≥67dB</w:t>
            </w:r>
          </w:p>
          <w:p>
            <w:pPr>
              <w:pStyle w:val="null3"/>
              <w:jc w:val="left"/>
            </w:pPr>
            <w:r>
              <w:rPr>
                <w:rFonts w:ascii="仿宋_GB2312" w:hAnsi="仿宋_GB2312" w:cs="仿宋_GB2312" w:eastAsia="仿宋_GB2312"/>
                <w:sz w:val="21"/>
                <w:color w:val="000000"/>
              </w:rPr>
              <w:t>300 kHz ~ 1 GHz ≥70dB</w:t>
            </w:r>
          </w:p>
          <w:p>
            <w:pPr>
              <w:pStyle w:val="null3"/>
              <w:jc w:val="left"/>
            </w:pPr>
            <w:r>
              <w:rPr>
                <w:rFonts w:ascii="仿宋_GB2312" w:hAnsi="仿宋_GB2312" w:cs="仿宋_GB2312" w:eastAsia="仿宋_GB2312"/>
                <w:sz w:val="21"/>
                <w:color w:val="000000"/>
              </w:rPr>
              <w:t>1 GHz ~ 10 GHz ≥68dB</w:t>
            </w:r>
          </w:p>
          <w:p>
            <w:pPr>
              <w:pStyle w:val="null3"/>
              <w:jc w:val="left"/>
            </w:pPr>
            <w:r>
              <w:rPr>
                <w:rFonts w:ascii="仿宋_GB2312" w:hAnsi="仿宋_GB2312" w:cs="仿宋_GB2312" w:eastAsia="仿宋_GB2312"/>
                <w:sz w:val="21"/>
                <w:color w:val="000000"/>
              </w:rPr>
              <w:t>10 GHz ~ 15 GHz ≥66dB</w:t>
            </w:r>
          </w:p>
          <w:p>
            <w:pPr>
              <w:pStyle w:val="null3"/>
              <w:jc w:val="left"/>
            </w:pPr>
            <w:r>
              <w:rPr>
                <w:rFonts w:ascii="仿宋_GB2312" w:hAnsi="仿宋_GB2312" w:cs="仿宋_GB2312" w:eastAsia="仿宋_GB2312"/>
                <w:sz w:val="21"/>
                <w:color w:val="000000"/>
              </w:rPr>
              <w:t>15 GHz ~ 20 GHz ≥65dB</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30 GHz≥60dB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30 GHz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40 GHz ≥58dB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利用校准件校准后的定向性指标（保证值）：</w:t>
            </w:r>
          </w:p>
          <w:p>
            <w:pPr>
              <w:pStyle w:val="null3"/>
              <w:jc w:val="left"/>
            </w:pPr>
            <w:r>
              <w:rPr>
                <w:rFonts w:ascii="仿宋_GB2312" w:hAnsi="仿宋_GB2312" w:cs="仿宋_GB2312" w:eastAsia="仿宋_GB2312"/>
                <w:sz w:val="21"/>
                <w:color w:val="000000"/>
              </w:rPr>
              <w:t xml:space="preserve">300 kHz </w:t>
            </w:r>
            <w:r>
              <w:rPr>
                <w:rFonts w:ascii="仿宋_GB2312" w:hAnsi="仿宋_GB2312" w:cs="仿宋_GB2312" w:eastAsia="仿宋_GB2312"/>
                <w:sz w:val="21"/>
                <w:color w:val="000000"/>
              </w:rPr>
              <w:t>～</w:t>
            </w:r>
            <w:r>
              <w:rPr>
                <w:rFonts w:ascii="仿宋_GB2312" w:hAnsi="仿宋_GB2312" w:cs="仿宋_GB2312" w:eastAsia="仿宋_GB2312"/>
                <w:sz w:val="21"/>
                <w:color w:val="000000"/>
              </w:rPr>
              <w:t>10 GHz ≥ 45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20 GHz ≥ 42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43.5 GHz ≥ 38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利用校准件校准后的源匹配指标（保证值）：</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w:t>
            </w:r>
            <w:r>
              <w:rPr>
                <w:rFonts w:ascii="仿宋_GB2312" w:hAnsi="仿宋_GB2312" w:cs="仿宋_GB2312" w:eastAsia="仿宋_GB2312"/>
                <w:sz w:val="21"/>
                <w:color w:val="000000"/>
              </w:rPr>
              <w:t>10 GHz ≥ 41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20 GHz ≥ 40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43.5 GHz ≥ 36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利用校准件校准后的负载匹配指标（保证值）：</w:t>
            </w:r>
          </w:p>
          <w:p>
            <w:pPr>
              <w:pStyle w:val="null3"/>
              <w:jc w:val="left"/>
            </w:pPr>
            <w:r>
              <w:rPr>
                <w:rFonts w:ascii="仿宋_GB2312" w:hAnsi="仿宋_GB2312" w:cs="仿宋_GB2312" w:eastAsia="仿宋_GB2312"/>
                <w:sz w:val="21"/>
                <w:color w:val="000000"/>
              </w:rPr>
              <w:t>100 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10 GHz ≥ 44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20 GHz ≥ 41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43.5 GHz ≥ 37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、输出功率准确度（典型值）：</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w:t>
            </w:r>
            <w:r>
              <w:rPr>
                <w:rFonts w:ascii="仿宋_GB2312" w:hAnsi="仿宋_GB2312" w:cs="仿宋_GB2312" w:eastAsia="仿宋_GB2312"/>
                <w:sz w:val="21"/>
                <w:color w:val="000000"/>
              </w:rPr>
              <w:t>20 GHz ≤ 0.5dB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40GHz ≤ 1.0dB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利用校准件校准前的传输跟踪指标</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保证值</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 GHz≤ 0.5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40 GHz≤ 0.5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利用校准件校准前的反射跟踪指标（保证值）：</w:t>
            </w:r>
          </w:p>
          <w:p>
            <w:pPr>
              <w:pStyle w:val="null3"/>
              <w:jc w:val="left"/>
            </w:pPr>
            <w:r>
              <w:rPr>
                <w:rFonts w:ascii="仿宋_GB2312" w:hAnsi="仿宋_GB2312" w:cs="仿宋_GB2312" w:eastAsia="仿宋_GB2312"/>
                <w:sz w:val="21"/>
                <w:color w:val="000000"/>
              </w:rPr>
              <w:t xml:space="preserve">100 kHz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 GHz≤ 0.5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20 GHz </w:t>
            </w:r>
            <w:r>
              <w:rPr>
                <w:rFonts w:ascii="仿宋_GB2312" w:hAnsi="仿宋_GB2312" w:cs="仿宋_GB2312" w:eastAsia="仿宋_GB2312"/>
                <w:sz w:val="21"/>
                <w:color w:val="000000"/>
              </w:rPr>
              <w:t>～</w:t>
            </w:r>
            <w:r>
              <w:rPr>
                <w:rFonts w:ascii="仿宋_GB2312" w:hAnsi="仿宋_GB2312" w:cs="仿宋_GB2312" w:eastAsia="仿宋_GB2312"/>
                <w:sz w:val="21"/>
                <w:color w:val="000000"/>
              </w:rPr>
              <w:t>40 GHz≤ 0.5 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测试曲线稳定度</w:t>
            </w:r>
            <w:r>
              <w:rPr>
                <w:rFonts w:ascii="仿宋_GB2312" w:hAnsi="仿宋_GB2312" w:cs="仿宋_GB2312" w:eastAsia="仿宋_GB2312"/>
                <w:sz w:val="21"/>
                <w:color w:val="000000"/>
              </w:rPr>
              <w:t xml:space="preserve">(0dBm </w:t>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 xml:space="preserve">10KHz </w:t>
            </w:r>
            <w:r>
              <w:rPr>
                <w:rFonts w:ascii="仿宋_GB2312" w:hAnsi="仿宋_GB2312" w:cs="仿宋_GB2312" w:eastAsia="仿宋_GB2312"/>
                <w:sz w:val="21"/>
                <w:color w:val="000000"/>
              </w:rPr>
              <w:t>中频带宽</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 MHz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 GHz</w:t>
            </w:r>
            <w:r>
              <w:rPr>
                <w:rFonts w:ascii="仿宋_GB2312" w:hAnsi="仿宋_GB2312" w:cs="仿宋_GB2312" w:eastAsia="仿宋_GB2312"/>
                <w:sz w:val="21"/>
                <w:color w:val="000000"/>
              </w:rPr>
              <w:t xml:space="preserve">：幅度 </w:t>
            </w:r>
            <w:r>
              <w:rPr>
                <w:rFonts w:ascii="仿宋_GB2312" w:hAnsi="仿宋_GB2312" w:cs="仿宋_GB2312" w:eastAsia="仿宋_GB2312"/>
                <w:sz w:val="21"/>
                <w:color w:val="000000"/>
              </w:rPr>
              <w:t>＜</w:t>
            </w:r>
            <w:r>
              <w:rPr>
                <w:rFonts w:ascii="仿宋_GB2312" w:hAnsi="仿宋_GB2312" w:cs="仿宋_GB2312" w:eastAsia="仿宋_GB2312"/>
                <w:sz w:val="21"/>
                <w:color w:val="000000"/>
              </w:rPr>
              <w:t>0.004 dB, typ.0.002 dB</w:t>
            </w:r>
            <w:r>
              <w:rPr>
                <w:rFonts w:ascii="仿宋_GB2312" w:hAnsi="仿宋_GB2312" w:cs="仿宋_GB2312" w:eastAsia="仿宋_GB2312"/>
                <w:sz w:val="21"/>
                <w:color w:val="000000"/>
              </w:rPr>
              <w:t>；相位</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0.035°, typ. 0.015°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功耗（典型值）：</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0W</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显示屏：</w:t>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英寸触摸屏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、实体键：支持快捷撤销</w:t>
            </w:r>
            <w:r>
              <w:rPr>
                <w:rFonts w:ascii="仿宋_GB2312" w:hAnsi="仿宋_GB2312" w:cs="仿宋_GB2312" w:eastAsia="仿宋_GB2312"/>
                <w:sz w:val="21"/>
                <w:color w:val="000000"/>
              </w:rPr>
              <w:t>/</w:t>
            </w:r>
            <w:r>
              <w:rPr>
                <w:rFonts w:ascii="仿宋_GB2312" w:hAnsi="仿宋_GB2312" w:cs="仿宋_GB2312" w:eastAsia="仿宋_GB2312"/>
                <w:sz w:val="21"/>
                <w:color w:val="000000"/>
              </w:rPr>
              <w:t>重做功能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配置：</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.1</w:t>
            </w:r>
            <w:r>
              <w:rPr>
                <w:rFonts w:ascii="仿宋_GB2312" w:hAnsi="仿宋_GB2312" w:cs="仿宋_GB2312" w:eastAsia="仿宋_GB2312"/>
                <w:sz w:val="21"/>
              </w:rPr>
              <w:t>矢量网络分析仪主机</w:t>
            </w:r>
            <w:r>
              <w:rPr>
                <w:rFonts w:ascii="仿宋_GB2312" w:hAnsi="仿宋_GB2312" w:cs="仿宋_GB2312" w:eastAsia="仿宋_GB2312"/>
                <w:sz w:val="21"/>
              </w:rPr>
              <w:t xml:space="preserve"> 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 xml:space="preserve">.2 </w:t>
            </w:r>
            <w:r>
              <w:rPr>
                <w:rFonts w:ascii="仿宋_GB2312" w:hAnsi="仿宋_GB2312" w:cs="仿宋_GB2312" w:eastAsia="仿宋_GB2312"/>
                <w:sz w:val="21"/>
              </w:rPr>
              <w:t>机械校准件</w:t>
            </w:r>
            <w:r>
              <w:rPr>
                <w:rFonts w:ascii="仿宋_GB2312" w:hAnsi="仿宋_GB2312" w:cs="仿宋_GB2312" w:eastAsia="仿宋_GB2312"/>
                <w:sz w:val="21"/>
              </w:rPr>
              <w:t xml:space="preserve"> 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 xml:space="preserve">.3 </w:t>
            </w:r>
            <w:r>
              <w:rPr>
                <w:rFonts w:ascii="仿宋_GB2312" w:hAnsi="仿宋_GB2312" w:cs="仿宋_GB2312" w:eastAsia="仿宋_GB2312"/>
                <w:sz w:val="21"/>
              </w:rPr>
              <w:t>稳相射频电缆</w:t>
            </w:r>
            <w:r>
              <w:rPr>
                <w:rFonts w:ascii="仿宋_GB2312" w:hAnsi="仿宋_GB2312" w:cs="仿宋_GB2312" w:eastAsia="仿宋_GB2312"/>
                <w:sz w:val="21"/>
              </w:rPr>
              <w:t xml:space="preserve"> 2</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注：所有</w:t>
            </w:r>
            <w:r>
              <w:rPr>
                <w:rFonts w:ascii="仿宋_GB2312" w:hAnsi="仿宋_GB2312" w:cs="仿宋_GB2312" w:eastAsia="仿宋_GB2312"/>
                <w:sz w:val="21"/>
                <w:color w:val="000000"/>
              </w:rPr>
              <w:t>★</w:t>
            </w:r>
            <w:r>
              <w:rPr>
                <w:rFonts w:ascii="仿宋_GB2312" w:hAnsi="仿宋_GB2312" w:cs="仿宋_GB2312" w:eastAsia="仿宋_GB2312"/>
                <w:sz w:val="21"/>
                <w:color w:val="000000"/>
              </w:rPr>
              <w:t>号</w:t>
            </w:r>
            <w:r>
              <w:rPr>
                <w:rFonts w:ascii="仿宋_GB2312" w:hAnsi="仿宋_GB2312" w:cs="仿宋_GB2312" w:eastAsia="仿宋_GB2312"/>
                <w:sz w:val="21"/>
              </w:rPr>
              <w:t>技术参数均</w:t>
            </w:r>
            <w:r>
              <w:rPr>
                <w:rFonts w:ascii="仿宋_GB2312" w:hAnsi="仿宋_GB2312" w:cs="仿宋_GB2312" w:eastAsia="仿宋_GB2312"/>
                <w:sz w:val="21"/>
              </w:rPr>
              <w:t>为实质性要求，负偏离视为无效响应文件</w:t>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号</w:t>
            </w:r>
            <w:r>
              <w:rPr>
                <w:rFonts w:ascii="仿宋_GB2312" w:hAnsi="仿宋_GB2312" w:cs="仿宋_GB2312" w:eastAsia="仿宋_GB2312"/>
                <w:sz w:val="21"/>
              </w:rPr>
              <w:t>技术参数必须提供佐证材料（包括但不限于产品彩页</w:t>
            </w:r>
            <w:r>
              <w:rPr>
                <w:rFonts w:ascii="仿宋_GB2312" w:hAnsi="仿宋_GB2312" w:cs="仿宋_GB2312" w:eastAsia="仿宋_GB2312"/>
                <w:sz w:val="21"/>
              </w:rPr>
              <w:t>或</w:t>
            </w:r>
            <w:r>
              <w:rPr>
                <w:rFonts w:ascii="仿宋_GB2312" w:hAnsi="仿宋_GB2312" w:cs="仿宋_GB2312" w:eastAsia="仿宋_GB2312"/>
                <w:sz w:val="21"/>
              </w:rPr>
              <w:t>厂家技术白皮书</w:t>
            </w:r>
            <w:r>
              <w:rPr>
                <w:rFonts w:ascii="仿宋_GB2312" w:hAnsi="仿宋_GB2312" w:cs="仿宋_GB2312" w:eastAsia="仿宋_GB2312"/>
                <w:sz w:val="21"/>
              </w:rPr>
              <w:t>或</w:t>
            </w:r>
            <w:r>
              <w:rPr>
                <w:rFonts w:ascii="仿宋_GB2312" w:hAnsi="仿宋_GB2312" w:cs="仿宋_GB2312" w:eastAsia="仿宋_GB2312"/>
                <w:sz w:val="21"/>
              </w:rPr>
              <w:t>官网截图</w:t>
            </w:r>
            <w:r>
              <w:rPr>
                <w:rFonts w:ascii="仿宋_GB2312" w:hAnsi="仿宋_GB2312" w:cs="仿宋_GB2312" w:eastAsia="仿宋_GB2312"/>
                <w:sz w:val="21"/>
              </w:rPr>
              <w:t>或检测报告</w:t>
            </w:r>
            <w:r>
              <w:rPr>
                <w:rFonts w:ascii="仿宋_GB2312" w:hAnsi="仿宋_GB2312" w:cs="仿宋_GB2312" w:eastAsia="仿宋_GB2312"/>
                <w:sz w:val="21"/>
              </w:rPr>
              <w:t>等</w:t>
            </w:r>
            <w:r>
              <w:rPr>
                <w:rFonts w:ascii="仿宋_GB2312" w:hAnsi="仿宋_GB2312" w:cs="仿宋_GB2312" w:eastAsia="仿宋_GB2312"/>
                <w:sz w:val="21"/>
              </w:rPr>
              <w:t>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进口产品：签订合同后 90日历日内供货并安装调试完毕； 国产产品：签订合同后 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国产产品： 付款条件说明：合同签订后，达到付款条件起 10日内，支付合同总金额的80.00%。 付款条件说明： 货到安装调试完成后 ，达到付款条件起 10 日内，支付合同总金额的 10.00%。 付款条件说明： 待验收合格后，凭成交供应商开具全额增值税专用发票 ，达到付款条件起 10 日内，支付合同总金额的 10.00%。 进口产品： 付款条件说明： 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1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成交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仲裁费应由败诉方负担。在仲裁期间，除正在进行仲裁部分外，合同其他部分继续执行。具体见竞争性谈判文件及合同要求。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注：1）3.4商务要求不允许负偏离。2,因系统固化原因，本项目支付方式及约定以此为准： 国产产品：支付方式分期付款；付款条件说明：合同签订后，达到付款条件起 10日内，支付合同总金额的 80.00%。付款条件说明： 货到安装调试完成后 ，达到付款条件起 10 日内，支付合同总金额的 10.00%。付款条件说明： 待验收合格后，凭成交供应商开具全额增值税专用发票 ，达到付款条件起 10 日内，支付合同总金额的 10.00%。 进口产品：支付方式一次付清，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3322"/>
          </w:tcPr>
          <w:p>
            <w:pPr>
              <w:pStyle w:val="null3"/>
            </w:pPr>
            <w:r>
              <w:rPr>
                <w:rFonts w:ascii="仿宋_GB2312" w:hAnsi="仿宋_GB2312" w:cs="仿宋_GB2312" w:eastAsia="仿宋_GB2312"/>
              </w:rPr>
              <w:t>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产品技术响应表.docx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响应文件其他格式.docx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 -进口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