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版本号：TWZB2025-18320251111001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全省无线电监测设备测试验证</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TWZB2025-183</w:t>
      </w:r>
      <w:r>
        <w:br/>
      </w:r>
      <w:r>
        <w:br/>
      </w:r>
      <w:r>
        <w:br/>
      </w:r>
    </w:p>
    <w:p>
      <w:pPr>
        <w:pStyle w:val="null3"/>
        <w:jc w:val="center"/>
        <w:outlineLvl w:val="2"/>
      </w:pPr>
      <w:r>
        <w:rPr>
          <w:rFonts w:ascii="仿宋_GB2312" w:hAnsi="仿宋_GB2312" w:cs="仿宋_GB2312" w:eastAsia="仿宋_GB2312"/>
          <w:sz w:val="28"/>
          <w:b/>
        </w:rPr>
        <w:t>陕西省无线电管理委员会机关</w:t>
      </w:r>
    </w:p>
    <w:p>
      <w:pPr>
        <w:pStyle w:val="null3"/>
        <w:jc w:val="center"/>
        <w:outlineLvl w:val="2"/>
      </w:pPr>
      <w:r>
        <w:rPr>
          <w:rFonts w:ascii="仿宋_GB2312" w:hAnsi="仿宋_GB2312" w:cs="仿宋_GB2312" w:eastAsia="仿宋_GB2312"/>
          <w:sz w:val="28"/>
          <w:b/>
        </w:rPr>
        <w:t>陕西天沃工程项目管理有限公司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陕西天沃工程项目管理有限公司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陕西省无线电管理委员会机关</w:t>
      </w:r>
      <w:r>
        <w:rPr>
          <w:rFonts w:ascii="仿宋_GB2312" w:hAnsi="仿宋_GB2312" w:cs="仿宋_GB2312" w:eastAsia="仿宋_GB2312"/>
        </w:rPr>
        <w:t>委托，拟对</w:t>
      </w:r>
      <w:r>
        <w:rPr>
          <w:rFonts w:ascii="仿宋_GB2312" w:hAnsi="仿宋_GB2312" w:cs="仿宋_GB2312" w:eastAsia="仿宋_GB2312"/>
        </w:rPr>
        <w:t>全省无线电监测设备测试验证</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TWZB2025-183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全省无线电监测设备测试验证</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进一步贯彻落实《中华人民共和国无线电管理条例》和《工业和信息化部关于印发〈无线电监测设施测试验证工作规定（试行）〉的通知》（工信部无〔2017〕283号）等相关文件要求，结合陕西省无线电监测设施的实际情况和往年测试验证工作基础上，2025年拟选择有资质有能力符合条件的第三方检测机构，按照国家相关标准对陕西省在用的指定监测设施开展测试验证工作，其中固定监测站10个、移动监测站2个、可搬移监测站2个，确保无线电监测设施在使用过程中的准确性、有效性和稳定性，充分发挥无线电监测数据在政策制定、干扰排查等工作中的技术支撑作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法定代表人（主要负责人）委托代理人参加投标时，应提供法定代表人（主要负责人）委托授权书；法定代表人（主要负责人）亲自参加投标时，应提供法定代表人（主要负责人）身份证明</w:t>
      </w:r>
    </w:p>
    <w:p>
      <w:pPr>
        <w:pStyle w:val="null3"/>
      </w:pPr>
      <w:r>
        <w:rPr>
          <w:rFonts w:ascii="仿宋_GB2312" w:hAnsi="仿宋_GB2312" w:cs="仿宋_GB2312" w:eastAsia="仿宋_GB2312"/>
        </w:rPr>
        <w:t>3、说明及承诺：具备履行合同所必须的设备和专业技术能力的说明及承诺</w:t>
      </w:r>
    </w:p>
    <w:p>
      <w:pPr>
        <w:pStyle w:val="null3"/>
      </w:pPr>
      <w:r>
        <w:rPr>
          <w:rFonts w:ascii="仿宋_GB2312" w:hAnsi="仿宋_GB2312" w:cs="仿宋_GB2312" w:eastAsia="仿宋_GB2312"/>
        </w:rPr>
        <w:t>4、声明：供应商在近三年经营活动中没有重大违法记录的声明</w:t>
      </w:r>
    </w:p>
    <w:p>
      <w:pPr>
        <w:pStyle w:val="null3"/>
      </w:pPr>
      <w:r>
        <w:rPr>
          <w:rFonts w:ascii="仿宋_GB2312" w:hAnsi="仿宋_GB2312" w:cs="仿宋_GB2312" w:eastAsia="仿宋_GB2312"/>
        </w:rPr>
        <w:t>5、财务状况报告（二选一）：财务状况报告（二选一）：①供应商提供2024年度经会计事务所或审计机构审计的完整的财务审计报告（成立时间至提供投标文件截止时间不足一年的可提供成立后任意时段的资产负债表）；②在投标截止时间前三个月内其开户银行出具的资信证明（附开户许可证或基本账户存款信息）</w:t>
      </w:r>
    </w:p>
    <w:p>
      <w:pPr>
        <w:pStyle w:val="null3"/>
      </w:pPr>
      <w:r>
        <w:rPr>
          <w:rFonts w:ascii="仿宋_GB2312" w:hAnsi="仿宋_GB2312" w:cs="仿宋_GB2312" w:eastAsia="仿宋_GB2312"/>
        </w:rPr>
        <w:t>6、税收缴纳证明：税收缴纳证明：供应商提供已缴纳的2025年1月至今至少一个月的纳税证明或完税证明（任意税种）；依法免税的单位应提供相关文件证明；供应商为零申报企业提供证明材料</w:t>
      </w:r>
    </w:p>
    <w:p>
      <w:pPr>
        <w:pStyle w:val="null3"/>
      </w:pPr>
      <w:r>
        <w:rPr>
          <w:rFonts w:ascii="仿宋_GB2312" w:hAnsi="仿宋_GB2312" w:cs="仿宋_GB2312" w:eastAsia="仿宋_GB2312"/>
        </w:rPr>
        <w:t>7、社会保障资金缴纳证明：社会保障资金缴纳证明：供应商提供已缴存的2025年1月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由代理机构现场查询）</w:t>
      </w:r>
    </w:p>
    <w:p>
      <w:pPr>
        <w:pStyle w:val="null3"/>
      </w:pPr>
      <w:r>
        <w:rPr>
          <w:rFonts w:ascii="仿宋_GB2312" w:hAnsi="仿宋_GB2312" w:cs="仿宋_GB2312" w:eastAsia="仿宋_GB2312"/>
        </w:rPr>
        <w:t>9、联合体投标：本项目不接受联合体投标（提供非联合体承诺书）</w:t>
      </w:r>
    </w:p>
    <w:p>
      <w:pPr>
        <w:pStyle w:val="null3"/>
      </w:pPr>
      <w:r>
        <w:rPr>
          <w:rFonts w:ascii="仿宋_GB2312" w:hAnsi="仿宋_GB2312" w:cs="仿宋_GB2312" w:eastAsia="仿宋_GB2312"/>
        </w:rPr>
        <w:t>10、控股管理关系：单位负责人为同一人或者存在控股、管理关系的不同单位不得同时投标（提供供应商企业关系关联承诺书）</w:t>
      </w:r>
    </w:p>
    <w:p>
      <w:pPr>
        <w:pStyle w:val="null3"/>
      </w:pPr>
      <w:r>
        <w:rPr>
          <w:rFonts w:ascii="仿宋_GB2312" w:hAnsi="仿宋_GB2312" w:cs="仿宋_GB2312" w:eastAsia="仿宋_GB2312"/>
        </w:rPr>
        <w:t>11、投标保证金：投标保证金交纳凭证及开户许可证或基本账户存款信息</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陕西省无线电管理委员会机关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省政府新城大院四号楼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陕西省无线电管理委员会办公室经办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88360536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陕西天沃工程项目管理有限公司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西安市经济开发区凤城十一路与文景路十字西北角文景广场C座1202室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02968539602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开户名称：陕西天沃工程项目管理有限公司</w:t>
            </w:r>
          </w:p>
          <w:p>
            <w:pPr>
              <w:pStyle w:val="null3"/>
            </w:pPr>
            <w:r>
              <w:rPr>
                <w:rFonts w:ascii="仿宋_GB2312" w:hAnsi="仿宋_GB2312" w:cs="仿宋_GB2312" w:eastAsia="仿宋_GB2312"/>
              </w:rPr>
              <w:t>开户银行：北京银行股份有限公司西安北客站科技支行</w:t>
            </w:r>
          </w:p>
          <w:p>
            <w:pPr>
              <w:pStyle w:val="null3"/>
            </w:pPr>
            <w:r>
              <w:rPr>
                <w:rFonts w:ascii="仿宋_GB2312" w:hAnsi="仿宋_GB2312" w:cs="仿宋_GB2312" w:eastAsia="仿宋_GB2312"/>
              </w:rPr>
              <w:t>银行账号：2000 0051 0025 0005 6215 628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代理服务费收费标准：中标人在领取中标通知书时，向陕西天沃工程项目管理有限公司交纳招标代理服务费。服务费收费标准参照原《国家计委关于印发&lt;招标代理服务收费管理暂行办法&gt;的通知》 (计价格〔2002〕1980号)、《国家发展改革委关于降低部分建设项目收费标准规范收费行为等有关问题的通知》(发改价格〔2011〕534号)规定执行。 服务费账户信息： 户名：陕西天沃工程项目管理有限公司 账号：6105 0177 0045 0000 0371 开户行：中国建设银行股份有限公司西安凤城十二路支行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陕西省无线电管理委员会机关</w:t>
      </w:r>
      <w:r>
        <w:rPr>
          <w:rFonts w:ascii="仿宋_GB2312" w:hAnsi="仿宋_GB2312" w:cs="仿宋_GB2312" w:eastAsia="仿宋_GB2312"/>
        </w:rPr>
        <w:t>和</w:t>
      </w:r>
      <w:r>
        <w:rPr>
          <w:rFonts w:ascii="仿宋_GB2312" w:hAnsi="仿宋_GB2312" w:cs="仿宋_GB2312" w:eastAsia="仿宋_GB2312"/>
        </w:rPr>
        <w:t>陕西天沃工程项目管理有限公司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陕西省无线电管理委员会机关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陕西天沃工程项目管理有限公司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陕西省无线电管理委员会机关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陕西天沃工程项目管理有限公司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满足采购人及招标文件规范标准要求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联系电话：029-68539602</w:t>
      </w:r>
    </w:p>
    <w:p>
      <w:pPr>
        <w:pStyle w:val="null3"/>
      </w:pPr>
      <w:r>
        <w:rPr>
          <w:rFonts w:ascii="仿宋_GB2312" w:hAnsi="仿宋_GB2312" w:cs="仿宋_GB2312" w:eastAsia="仿宋_GB2312"/>
        </w:rPr>
        <w:t>地址：西安市经济开发区凤城十一路与文景路十字西北角文景广场C座1202室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贯彻落实《中华人民共和国无线电管理条例》和《工业和信息化部关于印发〈无线电监测设施测试验证工作规定（试行）〉的通知》（工信部无〔2017〕283号）等相关文件要求，结合陕西省无线电监测设施的实际情况和往年测试验证工作基础上，2025年拟选择有资质有能力符合条件的第三方检测机构，按照国家相关标准对陕西省在用的指定监测设施开展测试验证工作，其中固定监测站10个、移动监测站2个、可搬移监测站2个，确保无线电监测设施在使用过程中的准确性、有效性和稳定性，充分发挥无线电监测数据在政策制定、干扰排查等工作中的技术支撑作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全省无线电监测设备测试验证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标的名称：全省无线电监测设备测试验证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ind w:firstLine="480"/>
              <w:jc w:val="left"/>
            </w:pPr>
            <w:r>
              <w:rPr>
                <w:rFonts w:ascii="仿宋_GB2312" w:hAnsi="仿宋_GB2312" w:cs="仿宋_GB2312" w:eastAsia="仿宋_GB2312"/>
                <w:sz w:val="24"/>
                <w:b/>
              </w:rPr>
              <w:t>项目技术、服务</w:t>
            </w:r>
            <w:r>
              <w:rPr>
                <w:rFonts w:ascii="仿宋_GB2312" w:hAnsi="仿宋_GB2312" w:cs="仿宋_GB2312" w:eastAsia="仿宋_GB2312"/>
                <w:sz w:val="24"/>
                <w:b/>
              </w:rPr>
              <w:t>要求</w:t>
            </w:r>
          </w:p>
          <w:p>
            <w:pPr>
              <w:pStyle w:val="null3"/>
              <w:spacing w:before="120"/>
              <w:ind w:firstLine="480"/>
              <w:jc w:val="left"/>
            </w:pPr>
            <w:r>
              <w:rPr>
                <w:rFonts w:ascii="仿宋_GB2312" w:hAnsi="仿宋_GB2312" w:cs="仿宋_GB2312" w:eastAsia="仿宋_GB2312"/>
                <w:sz w:val="24"/>
                <w:b/>
              </w:rPr>
              <w:t>一、项目目标</w:t>
            </w:r>
          </w:p>
          <w:p>
            <w:pPr>
              <w:pStyle w:val="null3"/>
              <w:spacing w:before="120"/>
              <w:ind w:firstLine="480"/>
              <w:jc w:val="left"/>
            </w:pPr>
            <w:r>
              <w:rPr>
                <w:rFonts w:ascii="仿宋_GB2312" w:hAnsi="仿宋_GB2312" w:cs="仿宋_GB2312" w:eastAsia="仿宋_GB2312"/>
                <w:sz w:val="24"/>
              </w:rPr>
              <w:t>为进一步贯彻落实《中华人民共和国无线电管理条例》和《工业和信息化部关于印发〈无线电监测设施测试验证工作规定（试行）〉的通知》（工信部无〔</w:t>
            </w:r>
            <w:r>
              <w:rPr>
                <w:rFonts w:ascii="仿宋_GB2312" w:hAnsi="仿宋_GB2312" w:cs="仿宋_GB2312" w:eastAsia="仿宋_GB2312"/>
                <w:sz w:val="24"/>
              </w:rPr>
              <w:t>2017〕283号）等相关文件要求，结合陕西省无线电监测设施的实际情况和往年测试验证工作基础上，2025年拟选择有资质有能力符合条件的第三方检测机构，按照国家相关标准对陕西省在用的指定监测设施开展测试验证工作，其中固定监测站10个、移动监测站2个、可搬移监测站2个，确保无线电监测设施在使用过程中的准确性、有效性和稳定性，充分发挥无线电监测数据在政策制定、干扰排查等工作中的技术支撑作用。</w:t>
            </w:r>
          </w:p>
          <w:p>
            <w:pPr>
              <w:pStyle w:val="null3"/>
              <w:ind w:firstLine="482"/>
              <w:jc w:val="both"/>
            </w:pPr>
            <w:r>
              <w:rPr>
                <w:rFonts w:ascii="仿宋_GB2312" w:hAnsi="仿宋_GB2312" w:cs="仿宋_GB2312" w:eastAsia="仿宋_GB2312"/>
                <w:sz w:val="24"/>
                <w:b/>
                <w:shd w:fill="FFFFFF" w:val="clear"/>
              </w:rPr>
              <w:t>二</w:t>
            </w:r>
            <w:r>
              <w:rPr>
                <w:rFonts w:ascii="仿宋_GB2312" w:hAnsi="仿宋_GB2312" w:cs="仿宋_GB2312" w:eastAsia="仿宋_GB2312"/>
                <w:sz w:val="24"/>
                <w:b/>
                <w:shd w:fill="FFFFFF" w:val="clear"/>
              </w:rPr>
              <w:t>、测试验证内容</w:t>
            </w:r>
          </w:p>
          <w:p>
            <w:pPr>
              <w:pStyle w:val="null3"/>
              <w:spacing w:after="150"/>
              <w:ind w:firstLine="480"/>
              <w:jc w:val="both"/>
            </w:pPr>
            <w:r>
              <w:rPr>
                <w:rFonts w:ascii="仿宋_GB2312" w:hAnsi="仿宋_GB2312" w:cs="仿宋_GB2312" w:eastAsia="仿宋_GB2312"/>
                <w:sz w:val="24"/>
                <w:shd w:fill="FFFFFF" w:val="clear"/>
              </w:rPr>
              <w:t>对指定的监测设施进行测试验证工作。具体清单如下：</w:t>
            </w:r>
          </w:p>
          <w:tbl>
            <w:tblPr>
              <w:tblBorders>
                <w:top w:val="none" w:color="000000" w:sz="4"/>
                <w:left w:val="none" w:color="000000" w:sz="4"/>
                <w:bottom w:val="none" w:color="000000" w:sz="4"/>
                <w:right w:val="none" w:color="000000" w:sz="4"/>
                <w:insideH w:val="none"/>
                <w:insideV w:val="none"/>
              </w:tblBorders>
            </w:tblPr>
            <w:tblGrid>
              <w:gridCol w:w="369"/>
              <w:gridCol w:w="1085"/>
              <w:gridCol w:w="546"/>
              <w:gridCol w:w="391"/>
            </w:tblGrid>
            <w:tr>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序号</w:t>
                  </w:r>
                </w:p>
              </w:tc>
              <w:tc>
                <w:tcPr>
                  <w:tcW w:type="dxa" w:w="10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类型</w:t>
                  </w:r>
                </w:p>
              </w:tc>
              <w:tc>
                <w:tcPr>
                  <w:tcW w:type="dxa" w:w="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所属单位</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数量</w:t>
                  </w: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固定监测站</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咸阳</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2</w:t>
                  </w: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2</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固定监测站</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宝鸡</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1</w:t>
                  </w: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3</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固定监测站</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渭南</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1</w:t>
                  </w: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4</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固定监测站</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延安</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1</w:t>
                  </w: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固定监测站</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榆林</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1</w:t>
                  </w: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6</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固定监测站</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汉中</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1</w:t>
                  </w: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7</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固定监测站</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安康</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2</w:t>
                  </w: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8</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固定监测站</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商洛</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1</w:t>
                  </w: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9</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移动监测站</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省站</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2</w:t>
                  </w: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10</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可搬移</w:t>
                  </w:r>
                  <w:r>
                    <w:rPr>
                      <w:rFonts w:ascii="仿宋_GB2312" w:hAnsi="仿宋_GB2312" w:cs="仿宋_GB2312" w:eastAsia="仿宋_GB2312"/>
                      <w:sz w:val="24"/>
                      <w:shd w:fill="FFFFFF" w:val="clear"/>
                    </w:rPr>
                    <w:t>监测站</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榆林</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1</w:t>
                  </w: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11</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可搬移</w:t>
                  </w:r>
                  <w:r>
                    <w:rPr>
                      <w:rFonts w:ascii="仿宋_GB2312" w:hAnsi="仿宋_GB2312" w:cs="仿宋_GB2312" w:eastAsia="仿宋_GB2312"/>
                      <w:sz w:val="24"/>
                      <w:shd w:fill="FFFFFF" w:val="clear"/>
                    </w:rPr>
                    <w:t>监测站</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宝鸡</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1</w:t>
                  </w:r>
                </w:p>
              </w:tc>
            </w:tr>
          </w:tbl>
          <w:p>
            <w:pPr>
              <w:pStyle w:val="null3"/>
              <w:spacing w:before="150"/>
              <w:ind w:firstLine="482"/>
              <w:jc w:val="both"/>
            </w:pPr>
            <w:r>
              <w:rPr>
                <w:rFonts w:ascii="仿宋_GB2312" w:hAnsi="仿宋_GB2312" w:cs="仿宋_GB2312" w:eastAsia="仿宋_GB2312"/>
                <w:sz w:val="24"/>
                <w:b/>
                <w:shd w:fill="FFFFFF" w:val="clear"/>
              </w:rPr>
              <w:t>三</w:t>
            </w:r>
            <w:r>
              <w:rPr>
                <w:rFonts w:ascii="仿宋_GB2312" w:hAnsi="仿宋_GB2312" w:cs="仿宋_GB2312" w:eastAsia="仿宋_GB2312"/>
                <w:sz w:val="24"/>
                <w:b/>
                <w:shd w:fill="FFFFFF" w:val="clear"/>
              </w:rPr>
              <w:t>、测试技术要求</w:t>
            </w:r>
          </w:p>
          <w:p>
            <w:pPr>
              <w:pStyle w:val="null3"/>
              <w:spacing w:before="120"/>
              <w:ind w:firstLine="480"/>
              <w:jc w:val="left"/>
            </w:pPr>
            <w:r>
              <w:rPr>
                <w:rFonts w:ascii="仿宋_GB2312" w:hAnsi="仿宋_GB2312" w:cs="仿宋_GB2312" w:eastAsia="仿宋_GB2312"/>
                <w:sz w:val="24"/>
                <w:shd w:fill="FFFFFF" w:val="clear"/>
              </w:rPr>
              <w:t>（一）测试项目</w:t>
            </w:r>
          </w:p>
          <w:tbl>
            <w:tblPr>
              <w:tblBorders>
                <w:top w:val="none" w:color="000000" w:sz="4"/>
                <w:left w:val="none" w:color="000000" w:sz="4"/>
                <w:bottom w:val="none" w:color="000000" w:sz="4"/>
                <w:right w:val="none" w:color="000000" w:sz="4"/>
                <w:insideH w:val="none"/>
                <w:insideV w:val="none"/>
              </w:tblBorders>
            </w:tblPr>
            <w:tblGrid>
              <w:gridCol w:w="203"/>
              <w:gridCol w:w="410"/>
              <w:gridCol w:w="935"/>
              <w:gridCol w:w="378"/>
              <w:gridCol w:w="474"/>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序号</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测试项目</w:t>
                  </w:r>
                </w:p>
              </w:tc>
              <w:tc>
                <w:tcPr>
                  <w:tcW w:type="dxa" w:w="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4"/>
                      <w:shd w:fill="FFFFFF" w:val="clear"/>
                    </w:rPr>
                    <w:t>测试指标</w:t>
                  </w:r>
                </w:p>
              </w:tc>
              <w:tc>
                <w:tcPr>
                  <w:tcW w:type="dxa" w:w="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测试方式</w:t>
                  </w:r>
                </w:p>
              </w:tc>
              <w:tc>
                <w:tcPr>
                  <w:tcW w:type="dxa" w:w="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备注</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1</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固定监测站</w:t>
                  </w:r>
                </w:p>
              </w:tc>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无线电监测、测向系统：测向精度、天馈系统驻波比、频率测量精度和电平测量精度</w:t>
                  </w:r>
                </w:p>
                <w:p>
                  <w:pPr>
                    <w:pStyle w:val="null3"/>
                    <w:jc w:val="both"/>
                  </w:pPr>
                  <w:r>
                    <w:rPr>
                      <w:rFonts w:ascii="仿宋_GB2312" w:hAnsi="仿宋_GB2312" w:cs="仿宋_GB2312" w:eastAsia="仿宋_GB2312"/>
                      <w:sz w:val="24"/>
                      <w:shd w:fill="FFFFFF" w:val="clear"/>
                    </w:rPr>
                    <w:t>等指标</w:t>
                  </w:r>
                </w:p>
                <w:p>
                  <w:pPr>
                    <w:pStyle w:val="null3"/>
                    <w:ind w:firstLine="200"/>
                    <w:jc w:val="center"/>
                  </w:pPr>
                  <w:r>
                    <w:rPr>
                      <w:rFonts w:ascii="仿宋_GB2312" w:hAnsi="仿宋_GB2312" w:cs="仿宋_GB2312" w:eastAsia="仿宋_GB2312"/>
                      <w:sz w:val="24"/>
                      <w:shd w:fill="FFFFFF" w:val="clear"/>
                    </w:rPr>
                    <w:t>无线电监测接收机：监测灵敏度、电平测量误差、频率准确度、接收机杂散发射和扫</w:t>
                  </w:r>
                </w:p>
                <w:p>
                  <w:pPr>
                    <w:pStyle w:val="null3"/>
                    <w:jc w:val="both"/>
                  </w:pPr>
                  <w:r>
                    <w:rPr>
                      <w:rFonts w:ascii="仿宋_GB2312" w:hAnsi="仿宋_GB2312" w:cs="仿宋_GB2312" w:eastAsia="仿宋_GB2312"/>
                      <w:sz w:val="24"/>
                      <w:shd w:fill="FFFFFF" w:val="clear"/>
                    </w:rPr>
                    <w:t>描速度等指标</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现场测试</w:t>
                  </w:r>
                  <w:r>
                    <w:rPr>
                      <w:rFonts w:ascii="仿宋_GB2312" w:hAnsi="仿宋_GB2312" w:cs="仿宋_GB2312" w:eastAsia="仿宋_GB2312"/>
                      <w:sz w:val="24"/>
                      <w:shd w:fill="FFFFFF" w:val="clear"/>
                    </w:rPr>
                    <w:t>/传导测试</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根据设备实际情况开展无线电监测、测向系统</w:t>
                  </w:r>
                  <w:r>
                    <w:rPr>
                      <w:rFonts w:ascii="仿宋_GB2312" w:hAnsi="仿宋_GB2312" w:cs="仿宋_GB2312" w:eastAsia="仿宋_GB2312"/>
                      <w:sz w:val="24"/>
                      <w:shd w:fill="FFFFFF" w:val="clear"/>
                    </w:rPr>
                    <w:t>及</w:t>
                  </w:r>
                  <w:r>
                    <w:rPr>
                      <w:rFonts w:ascii="仿宋_GB2312" w:hAnsi="仿宋_GB2312" w:cs="仿宋_GB2312" w:eastAsia="仿宋_GB2312"/>
                      <w:sz w:val="24"/>
                      <w:shd w:fill="FFFFFF" w:val="clear"/>
                    </w:rPr>
                    <w:t>无线电监测接收机测试</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2</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移动监测站</w:t>
                  </w:r>
                </w:p>
              </w:tc>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无线电监测、测向系统：监测灵敏度、场强测量精度、频率测量精度、测向灵敏度和</w:t>
                  </w:r>
                </w:p>
                <w:p>
                  <w:pPr>
                    <w:pStyle w:val="null3"/>
                    <w:jc w:val="both"/>
                  </w:pPr>
                  <w:r>
                    <w:rPr>
                      <w:rFonts w:ascii="仿宋_GB2312" w:hAnsi="仿宋_GB2312" w:cs="仿宋_GB2312" w:eastAsia="仿宋_GB2312"/>
                      <w:sz w:val="24"/>
                      <w:shd w:fill="FFFFFF" w:val="clear"/>
                    </w:rPr>
                    <w:t>测向精度等指标</w:t>
                  </w:r>
                </w:p>
                <w:p>
                  <w:pPr>
                    <w:pStyle w:val="null3"/>
                    <w:ind w:firstLine="200"/>
                    <w:jc w:val="center"/>
                  </w:pPr>
                  <w:r>
                    <w:rPr>
                      <w:rFonts w:ascii="仿宋_GB2312" w:hAnsi="仿宋_GB2312" w:cs="仿宋_GB2312" w:eastAsia="仿宋_GB2312"/>
                      <w:sz w:val="24"/>
                      <w:shd w:fill="FFFFFF" w:val="clear"/>
                    </w:rPr>
                    <w:t>无线电监测接收机：监测灵敏度、电平测量误差、频率准确度、接收机杂散发射和扫</w:t>
                  </w:r>
                </w:p>
                <w:p>
                  <w:pPr>
                    <w:pStyle w:val="null3"/>
                    <w:jc w:val="both"/>
                  </w:pPr>
                  <w:r>
                    <w:rPr>
                      <w:rFonts w:ascii="仿宋_GB2312" w:hAnsi="仿宋_GB2312" w:cs="仿宋_GB2312" w:eastAsia="仿宋_GB2312"/>
                      <w:sz w:val="24"/>
                      <w:shd w:fill="FFFFFF" w:val="clear"/>
                    </w:rPr>
                    <w:t>描速度等指标</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开场测试</w:t>
                  </w:r>
                  <w:r>
                    <w:rPr>
                      <w:rFonts w:ascii="仿宋_GB2312" w:hAnsi="仿宋_GB2312" w:cs="仿宋_GB2312" w:eastAsia="仿宋_GB2312"/>
                      <w:sz w:val="24"/>
                      <w:shd w:fill="FFFFFF" w:val="clear"/>
                    </w:rPr>
                    <w:t>/传导测试</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根据设备实际情况开展无线电监测、测向系统或无线电监测接收机测试</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3</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可搬移</w:t>
                  </w:r>
                  <w:r>
                    <w:rPr>
                      <w:rFonts w:ascii="仿宋_GB2312" w:hAnsi="仿宋_GB2312" w:cs="仿宋_GB2312" w:eastAsia="仿宋_GB2312"/>
                      <w:sz w:val="24"/>
                      <w:shd w:fill="FFFFFF" w:val="clear"/>
                    </w:rPr>
                    <w:t>监测站</w:t>
                  </w:r>
                </w:p>
              </w:tc>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4"/>
                      <w:shd w:fill="FFFFFF" w:val="clear"/>
                    </w:rPr>
                    <w:t>无线电监测、测向系统：监测灵敏度、场强测量精度、频率测量精度、测向灵敏度和</w:t>
                  </w:r>
                </w:p>
                <w:p>
                  <w:pPr>
                    <w:pStyle w:val="null3"/>
                    <w:jc w:val="both"/>
                  </w:pPr>
                  <w:r>
                    <w:rPr>
                      <w:rFonts w:ascii="仿宋_GB2312" w:hAnsi="仿宋_GB2312" w:cs="仿宋_GB2312" w:eastAsia="仿宋_GB2312"/>
                      <w:sz w:val="24"/>
                      <w:shd w:fill="FFFFFF" w:val="clear"/>
                    </w:rPr>
                    <w:t>测向精度等指标</w:t>
                  </w:r>
                </w:p>
                <w:p>
                  <w:pPr>
                    <w:pStyle w:val="null3"/>
                    <w:ind w:firstLine="200"/>
                    <w:jc w:val="center"/>
                  </w:pPr>
                  <w:r>
                    <w:rPr>
                      <w:rFonts w:ascii="仿宋_GB2312" w:hAnsi="仿宋_GB2312" w:cs="仿宋_GB2312" w:eastAsia="仿宋_GB2312"/>
                      <w:sz w:val="24"/>
                      <w:shd w:fill="FFFFFF" w:val="clear"/>
                    </w:rPr>
                    <w:t>无线电监测接收机：监测灵敏度、电平测量误差、频率准确度、接收机杂散发射和扫</w:t>
                  </w:r>
                </w:p>
                <w:p>
                  <w:pPr>
                    <w:pStyle w:val="null3"/>
                    <w:jc w:val="both"/>
                  </w:pPr>
                  <w:r>
                    <w:rPr>
                      <w:rFonts w:ascii="仿宋_GB2312" w:hAnsi="仿宋_GB2312" w:cs="仿宋_GB2312" w:eastAsia="仿宋_GB2312"/>
                      <w:sz w:val="24"/>
                      <w:shd w:fill="FFFFFF" w:val="clear"/>
                    </w:rPr>
                    <w:t>描速度等指标</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开场测试</w:t>
                  </w:r>
                  <w:r>
                    <w:rPr>
                      <w:rFonts w:ascii="仿宋_GB2312" w:hAnsi="仿宋_GB2312" w:cs="仿宋_GB2312" w:eastAsia="仿宋_GB2312"/>
                      <w:sz w:val="24"/>
                      <w:shd w:fill="FFFFFF" w:val="clear"/>
                    </w:rPr>
                    <w:t>/传导测试</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根据设备实际情况开展无线电监测、测向系统</w:t>
                  </w:r>
                  <w:r>
                    <w:rPr>
                      <w:rFonts w:ascii="仿宋_GB2312" w:hAnsi="仿宋_GB2312" w:cs="仿宋_GB2312" w:eastAsia="仿宋_GB2312"/>
                      <w:sz w:val="24"/>
                      <w:shd w:fill="FFFFFF" w:val="clear"/>
                    </w:rPr>
                    <w:t>及</w:t>
                  </w:r>
                  <w:r>
                    <w:rPr>
                      <w:rFonts w:ascii="仿宋_GB2312" w:hAnsi="仿宋_GB2312" w:cs="仿宋_GB2312" w:eastAsia="仿宋_GB2312"/>
                      <w:sz w:val="24"/>
                      <w:shd w:fill="FFFFFF" w:val="clear"/>
                    </w:rPr>
                    <w:t>无线电监测接收机测试</w:t>
                  </w:r>
                </w:p>
              </w:tc>
            </w:tr>
          </w:tbl>
          <w:p>
            <w:pPr>
              <w:pStyle w:val="null3"/>
              <w:ind w:firstLine="240"/>
              <w:jc w:val="both"/>
            </w:pPr>
            <w:r>
              <w:rPr>
                <w:rFonts w:ascii="仿宋_GB2312" w:hAnsi="仿宋_GB2312" w:cs="仿宋_GB2312" w:eastAsia="仿宋_GB2312"/>
                <w:sz w:val="24"/>
                <w:shd w:fill="FFFFFF" w:val="clear"/>
              </w:rPr>
              <w:t>（二）测试依据</w:t>
            </w:r>
          </w:p>
          <w:p>
            <w:pPr>
              <w:pStyle w:val="null3"/>
              <w:ind w:firstLine="480"/>
              <w:jc w:val="both"/>
            </w:pPr>
            <w:r>
              <w:rPr>
                <w:rFonts w:ascii="仿宋_GB2312" w:hAnsi="仿宋_GB2312" w:cs="仿宋_GB2312" w:eastAsia="仿宋_GB2312"/>
                <w:sz w:val="24"/>
                <w:shd w:fill="FFFFFF" w:val="clear"/>
              </w:rPr>
              <w:t>测试必须依据《工业和信息化部关于印发〈无线电监测设施测试验证工作规定（试行）〉的通知》（工信部无〔</w:t>
            </w:r>
            <w:r>
              <w:rPr>
                <w:rFonts w:ascii="仿宋_GB2312" w:hAnsi="仿宋_GB2312" w:cs="仿宋_GB2312" w:eastAsia="仿宋_GB2312"/>
                <w:sz w:val="24"/>
                <w:shd w:fill="FFFFFF" w:val="clear"/>
              </w:rPr>
              <w:t>2017〕283号）要求</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必须满足如下标准：</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《省级无线电监测设施建设规范和技术要求（试行）》；</w:t>
            </w:r>
          </w:p>
          <w:p>
            <w:pPr>
              <w:pStyle w:val="null3"/>
              <w:ind w:firstLine="480"/>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VHF/UHF无线电监测测向系统开场测试参数和测试方法》（GB/T 34089-2017）；</w:t>
            </w:r>
          </w:p>
          <w:p>
            <w:pPr>
              <w:pStyle w:val="null3"/>
              <w:ind w:firstLine="480"/>
              <w:jc w:val="both"/>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VHF/UHF频段无线电监测接收机技术要求及测试方法》（GB/T 32401-2015）；</w:t>
            </w:r>
          </w:p>
          <w:p>
            <w:pPr>
              <w:pStyle w:val="null3"/>
              <w:ind w:firstLine="480"/>
              <w:jc w:val="both"/>
            </w:pP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VHF/UHF无线电监测测向系统开场测试参数和测试方法》（YD/T 2675-2013）；</w:t>
            </w:r>
          </w:p>
          <w:p>
            <w:pPr>
              <w:pStyle w:val="null3"/>
              <w:ind w:firstLine="480"/>
              <w:jc w:val="both"/>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VHF/UHF频率范围内测向系统测向灵敏度的测试程序》（ITU-R SM.2096）；</w:t>
            </w:r>
          </w:p>
          <w:p>
            <w:pPr>
              <w:pStyle w:val="null3"/>
              <w:ind w:firstLine="480"/>
              <w:jc w:val="both"/>
            </w:pP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《固定测向系统测向精度的现场</w:t>
            </w:r>
            <w:r>
              <w:rPr>
                <w:rFonts w:ascii="仿宋_GB2312" w:hAnsi="仿宋_GB2312" w:cs="仿宋_GB2312" w:eastAsia="仿宋_GB2312"/>
                <w:sz w:val="24"/>
                <w:shd w:fill="FFFFFF" w:val="clear"/>
              </w:rPr>
              <w:t>测试程序》（</w:t>
            </w:r>
            <w:r>
              <w:rPr>
                <w:rFonts w:ascii="仿宋_GB2312" w:hAnsi="仿宋_GB2312" w:cs="仿宋_GB2312" w:eastAsia="仿宋_GB2312"/>
                <w:sz w:val="24"/>
                <w:shd w:fill="FFFFFF" w:val="clear"/>
              </w:rPr>
              <w:t>ITU-R SM.2097）；</w:t>
            </w:r>
          </w:p>
          <w:p>
            <w:pPr>
              <w:pStyle w:val="null3"/>
              <w:ind w:firstLine="480"/>
              <w:jc w:val="both"/>
            </w:pP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《测向系统测向精度的测试程序》（</w:t>
            </w:r>
            <w:r>
              <w:rPr>
                <w:rFonts w:ascii="仿宋_GB2312" w:hAnsi="仿宋_GB2312" w:cs="仿宋_GB2312" w:eastAsia="仿宋_GB2312"/>
                <w:sz w:val="24"/>
                <w:shd w:fill="FFFFFF" w:val="clear"/>
              </w:rPr>
              <w:t>ITU-R SM.2060）；</w:t>
            </w:r>
          </w:p>
          <w:p>
            <w:pPr>
              <w:pStyle w:val="null3"/>
              <w:ind w:firstLine="482"/>
              <w:jc w:val="both"/>
            </w:pPr>
            <w:r>
              <w:rPr>
                <w:rFonts w:ascii="仿宋_GB2312" w:hAnsi="仿宋_GB2312" w:cs="仿宋_GB2312" w:eastAsia="仿宋_GB2312"/>
                <w:sz w:val="24"/>
                <w:b/>
                <w:shd w:fill="FFFFFF" w:val="clear"/>
              </w:rPr>
              <w:t>四</w:t>
            </w:r>
            <w:r>
              <w:rPr>
                <w:rFonts w:ascii="仿宋_GB2312" w:hAnsi="仿宋_GB2312" w:cs="仿宋_GB2312" w:eastAsia="仿宋_GB2312"/>
                <w:sz w:val="24"/>
                <w:b/>
                <w:shd w:fill="FFFFFF" w:val="clear"/>
              </w:rPr>
              <w:t>、测试期限</w:t>
            </w:r>
          </w:p>
          <w:p>
            <w:pPr>
              <w:pStyle w:val="null3"/>
              <w:spacing w:before="120"/>
              <w:ind w:firstLine="480"/>
              <w:jc w:val="left"/>
            </w:pPr>
            <w:r>
              <w:rPr>
                <w:rFonts w:ascii="仿宋_GB2312" w:hAnsi="仿宋_GB2312" w:cs="仿宋_GB2312" w:eastAsia="仿宋_GB2312"/>
                <w:sz w:val="24"/>
                <w:shd w:fill="FFFFFF" w:val="clear"/>
              </w:rPr>
              <w:t>成交</w:t>
            </w:r>
            <w:r>
              <w:rPr>
                <w:rFonts w:ascii="仿宋_GB2312" w:hAnsi="仿宋_GB2312" w:cs="仿宋_GB2312" w:eastAsia="仿宋_GB2312"/>
                <w:sz w:val="24"/>
                <w:shd w:fill="FFFFFF" w:val="clear"/>
              </w:rPr>
              <w:t>供应商</w:t>
            </w:r>
            <w:r>
              <w:rPr>
                <w:rFonts w:ascii="仿宋_GB2312" w:hAnsi="仿宋_GB2312" w:cs="仿宋_GB2312" w:eastAsia="仿宋_GB2312"/>
                <w:sz w:val="24"/>
                <w:shd w:fill="FFFFFF" w:val="clear"/>
              </w:rPr>
              <w:t>应在合同签订生效后的</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个月内</w:t>
            </w:r>
            <w:r>
              <w:rPr>
                <w:rFonts w:ascii="仿宋_GB2312" w:hAnsi="仿宋_GB2312" w:cs="仿宋_GB2312" w:eastAsia="仿宋_GB2312"/>
                <w:sz w:val="24"/>
                <w:shd w:fill="FFFFFF" w:val="clear"/>
              </w:rPr>
              <w:t>完成项目中指定的无线电监测设施测试验证。如由于采购人的原因或不可抗力的因素造成合同延迟签订或测试延期的，时间顺延。</w:t>
            </w:r>
          </w:p>
          <w:p>
            <w:pPr>
              <w:pStyle w:val="null3"/>
              <w:ind w:firstLine="482"/>
              <w:jc w:val="both"/>
            </w:pPr>
            <w:r>
              <w:rPr>
                <w:rFonts w:ascii="仿宋_GB2312" w:hAnsi="仿宋_GB2312" w:cs="仿宋_GB2312" w:eastAsia="仿宋_GB2312"/>
                <w:sz w:val="24"/>
                <w:b/>
                <w:shd w:fill="FFFFFF" w:val="clear"/>
              </w:rPr>
              <w:t>五</w:t>
            </w:r>
            <w:r>
              <w:rPr>
                <w:rFonts w:ascii="仿宋_GB2312" w:hAnsi="仿宋_GB2312" w:cs="仿宋_GB2312" w:eastAsia="仿宋_GB2312"/>
                <w:sz w:val="24"/>
                <w:b/>
                <w:shd w:fill="FFFFFF" w:val="clear"/>
              </w:rPr>
              <w:t>、验收要求</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成交</w:t>
            </w:r>
            <w:r>
              <w:rPr>
                <w:rFonts w:ascii="仿宋_GB2312" w:hAnsi="仿宋_GB2312" w:cs="仿宋_GB2312" w:eastAsia="仿宋_GB2312"/>
                <w:sz w:val="24"/>
                <w:shd w:fill="FFFFFF" w:val="clear"/>
              </w:rPr>
              <w:t>供应商在合同签订生效后的</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个月完成整个项目的交付验收。如由于采购人的原因造成合同延迟签订或验收的，时间顺延。验收时须提供测试验证报告及相应的成果。</w:t>
            </w:r>
          </w:p>
          <w:p>
            <w:pPr>
              <w:pStyle w:val="null3"/>
              <w:ind w:firstLine="480"/>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验收由采购人组织，成交供应商配合进行：</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1）测试验证服务完毕后，由采购人组织开展验收工作，验收所产生的费用由成交供应商承担。</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2）验收标准按招标文件相关约定执行</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成交供应商应首先给出具体验收计划、内容和方法，与采购人讨论并通过后，方可按计划进行验收。</w:t>
            </w:r>
          </w:p>
          <w:p>
            <w:pPr>
              <w:pStyle w:val="null3"/>
              <w:spacing w:before="120"/>
              <w:ind w:firstLine="480"/>
              <w:jc w:val="left"/>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成交供应商应负责在项目验收后将测试验证的有关测试报告、验收报告等文档汇集成册交付给采购人。</w:t>
            </w:r>
          </w:p>
          <w:p>
            <w:pPr>
              <w:pStyle w:val="null3"/>
              <w:spacing w:before="120"/>
              <w:ind w:firstLine="480"/>
              <w:jc w:val="left"/>
            </w:pPr>
            <w:r>
              <w:rPr>
                <w:rFonts w:ascii="仿宋_GB2312" w:hAnsi="仿宋_GB2312" w:cs="仿宋_GB2312" w:eastAsia="仿宋_GB2312"/>
                <w:sz w:val="24"/>
                <w:b/>
              </w:rPr>
              <w:t>商务及其他要求</w:t>
            </w:r>
          </w:p>
          <w:p>
            <w:pPr>
              <w:pStyle w:val="null3"/>
              <w:ind w:firstLine="480"/>
              <w:jc w:val="both"/>
            </w:pPr>
            <w:r>
              <w:rPr>
                <w:rFonts w:ascii="仿宋_GB2312" w:hAnsi="仿宋_GB2312" w:cs="仿宋_GB2312" w:eastAsia="仿宋_GB2312"/>
                <w:sz w:val="24"/>
              </w:rPr>
              <w:t>一、服务期及地点：</w:t>
            </w:r>
          </w:p>
          <w:p>
            <w:pPr>
              <w:pStyle w:val="null3"/>
              <w:ind w:firstLine="600"/>
              <w:jc w:val="both"/>
            </w:pPr>
            <w:r>
              <w:rPr>
                <w:rFonts w:ascii="仿宋_GB2312" w:hAnsi="仿宋_GB2312" w:cs="仿宋_GB2312" w:eastAsia="仿宋_GB2312"/>
                <w:sz w:val="24"/>
              </w:rPr>
              <w:t>1、服务期：</w:t>
            </w:r>
            <w:r>
              <w:rPr>
                <w:rFonts w:ascii="仿宋_GB2312" w:hAnsi="仿宋_GB2312" w:cs="仿宋_GB2312" w:eastAsia="仿宋_GB2312"/>
                <w:sz w:val="24"/>
              </w:rPr>
              <w:t>合同签订生效后的</w:t>
            </w:r>
            <w:r>
              <w:rPr>
                <w:rFonts w:ascii="仿宋_GB2312" w:hAnsi="仿宋_GB2312" w:cs="仿宋_GB2312" w:eastAsia="仿宋_GB2312"/>
                <w:sz w:val="24"/>
              </w:rPr>
              <w:t>5个月内完成项目</w:t>
            </w:r>
            <w:r>
              <w:rPr>
                <w:rFonts w:ascii="仿宋_GB2312" w:hAnsi="仿宋_GB2312" w:cs="仿宋_GB2312" w:eastAsia="仿宋_GB2312"/>
                <w:sz w:val="24"/>
              </w:rPr>
              <w:t>。</w:t>
            </w:r>
          </w:p>
          <w:p>
            <w:pPr>
              <w:pStyle w:val="null3"/>
              <w:ind w:firstLine="600"/>
              <w:jc w:val="both"/>
            </w:pPr>
            <w:r>
              <w:rPr>
                <w:rFonts w:ascii="仿宋_GB2312" w:hAnsi="仿宋_GB2312" w:cs="仿宋_GB2312" w:eastAsia="仿宋_GB2312"/>
                <w:sz w:val="24"/>
              </w:rPr>
              <w:t>2、项目地点：各</w:t>
            </w:r>
            <w:r>
              <w:rPr>
                <w:rFonts w:ascii="仿宋_GB2312" w:hAnsi="仿宋_GB2312" w:cs="仿宋_GB2312" w:eastAsia="仿宋_GB2312"/>
                <w:sz w:val="24"/>
              </w:rPr>
              <w:t>监测设施</w:t>
            </w:r>
            <w:r>
              <w:rPr>
                <w:rFonts w:ascii="仿宋_GB2312" w:hAnsi="仿宋_GB2312" w:cs="仿宋_GB2312" w:eastAsia="仿宋_GB2312"/>
                <w:sz w:val="24"/>
              </w:rPr>
              <w:t>所在地（陕西省内）。</w:t>
            </w:r>
          </w:p>
          <w:p>
            <w:pPr>
              <w:pStyle w:val="null3"/>
              <w:ind w:firstLine="470"/>
              <w:jc w:val="both"/>
            </w:pPr>
            <w:r>
              <w:rPr>
                <w:rFonts w:ascii="仿宋_GB2312" w:hAnsi="仿宋_GB2312" w:cs="仿宋_GB2312" w:eastAsia="仿宋_GB2312"/>
                <w:sz w:val="24"/>
              </w:rPr>
              <w:t>二、运输、安装、调试：</w:t>
            </w:r>
            <w:r>
              <w:rPr>
                <w:rFonts w:ascii="仿宋_GB2312" w:hAnsi="仿宋_GB2312" w:cs="仿宋_GB2312" w:eastAsia="仿宋_GB2312"/>
                <w:sz w:val="24"/>
              </w:rPr>
              <w:t>中标人负责运输安装及调试</w:t>
            </w:r>
            <w:r>
              <w:rPr>
                <w:rFonts w:ascii="仿宋_GB2312" w:hAnsi="仿宋_GB2312" w:cs="仿宋_GB2312" w:eastAsia="仿宋_GB2312"/>
                <w:sz w:val="24"/>
              </w:rPr>
              <w:t>（确保兼容性，调试运行良好）。</w:t>
            </w:r>
          </w:p>
          <w:p>
            <w:pPr>
              <w:pStyle w:val="null3"/>
              <w:ind w:firstLine="480"/>
              <w:jc w:val="both"/>
            </w:pPr>
            <w:r>
              <w:rPr>
                <w:rFonts w:ascii="仿宋_GB2312" w:hAnsi="仿宋_GB2312" w:cs="仿宋_GB2312" w:eastAsia="仿宋_GB2312"/>
                <w:sz w:val="24"/>
              </w:rPr>
              <w:t>三、付款方式和程序：</w:t>
            </w:r>
          </w:p>
          <w:p>
            <w:pPr>
              <w:pStyle w:val="null3"/>
              <w:ind w:firstLine="570"/>
              <w:jc w:val="both"/>
            </w:pPr>
            <w:r>
              <w:rPr>
                <w:rFonts w:ascii="仿宋_GB2312" w:hAnsi="仿宋_GB2312" w:cs="仿宋_GB2312" w:eastAsia="仿宋_GB2312"/>
                <w:sz w:val="24"/>
              </w:rPr>
              <w:t>1、合同签订后5个工作日内，乙方向甲方出具</w:t>
            </w:r>
            <w:r>
              <w:rPr>
                <w:rFonts w:ascii="仿宋_GB2312" w:hAnsi="仿宋_GB2312" w:cs="仿宋_GB2312" w:eastAsia="仿宋_GB2312"/>
                <w:sz w:val="24"/>
              </w:rPr>
              <w:t>合同总价款</w:t>
            </w:r>
            <w:r>
              <w:rPr>
                <w:rFonts w:ascii="仿宋_GB2312" w:hAnsi="仿宋_GB2312" w:cs="仿宋_GB2312" w:eastAsia="仿宋_GB2312"/>
                <w:sz w:val="24"/>
              </w:rPr>
              <w:t>5%金额</w:t>
            </w:r>
            <w:r>
              <w:rPr>
                <w:rFonts w:ascii="仿宋_GB2312" w:hAnsi="仿宋_GB2312" w:cs="仿宋_GB2312" w:eastAsia="仿宋_GB2312"/>
                <w:sz w:val="24"/>
              </w:rPr>
              <w:t>的银行保函，保函有效期截止到项目终验合格之日结束；</w:t>
            </w:r>
          </w:p>
          <w:p>
            <w:pPr>
              <w:pStyle w:val="null3"/>
              <w:ind w:firstLine="570"/>
              <w:jc w:val="both"/>
            </w:pPr>
            <w:r>
              <w:rPr>
                <w:rFonts w:ascii="仿宋_GB2312" w:hAnsi="仿宋_GB2312" w:cs="仿宋_GB2312" w:eastAsia="仿宋_GB2312"/>
                <w:sz w:val="24"/>
              </w:rPr>
              <w:t>2、甲方收到乙方合格银行保函后支付全部合同总价款；</w:t>
            </w:r>
          </w:p>
          <w:p>
            <w:pPr>
              <w:pStyle w:val="null3"/>
              <w:ind w:firstLine="570"/>
              <w:jc w:val="both"/>
            </w:pPr>
            <w:r>
              <w:rPr>
                <w:rFonts w:ascii="仿宋_GB2312" w:hAnsi="仿宋_GB2312" w:cs="仿宋_GB2312" w:eastAsia="仿宋_GB2312"/>
                <w:sz w:val="24"/>
              </w:rPr>
              <w:t>3、乙方承诺在甲方办理支付手续前，为甲方出具等额的符合国家规定的发票；</w:t>
            </w:r>
          </w:p>
          <w:p>
            <w:pPr>
              <w:pStyle w:val="null3"/>
              <w:ind w:firstLine="570"/>
              <w:jc w:val="both"/>
            </w:pPr>
            <w:r>
              <w:rPr>
                <w:rFonts w:ascii="仿宋_GB2312" w:hAnsi="仿宋_GB2312" w:cs="仿宋_GB2312" w:eastAsia="仿宋_GB2312"/>
                <w:sz w:val="24"/>
              </w:rPr>
              <w:t>4、上述时间不包括甲方正常办理支付报批手续的时间（办理银行担保所需的手续费、担保费等全部由中标人承担）。</w:t>
            </w:r>
          </w:p>
          <w:p>
            <w:pPr>
              <w:pStyle w:val="null3"/>
              <w:ind w:firstLine="570"/>
              <w:jc w:val="both"/>
            </w:pPr>
            <w:r>
              <w:rPr>
                <w:rFonts w:ascii="仿宋_GB2312" w:hAnsi="仿宋_GB2312" w:cs="仿宋_GB2312" w:eastAsia="仿宋_GB2312"/>
                <w:sz w:val="24"/>
              </w:rPr>
              <w:t>四</w:t>
            </w:r>
            <w:r>
              <w:rPr>
                <w:rFonts w:ascii="仿宋_GB2312" w:hAnsi="仿宋_GB2312" w:cs="仿宋_GB2312" w:eastAsia="仿宋_GB2312"/>
                <w:sz w:val="24"/>
              </w:rPr>
              <w:t>、项目验收：</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项目验收由甲方指定的第三方</w:t>
            </w:r>
            <w:r>
              <w:rPr>
                <w:rFonts w:ascii="仿宋_GB2312" w:hAnsi="仿宋_GB2312" w:cs="仿宋_GB2312" w:eastAsia="仿宋_GB2312"/>
                <w:sz w:val="24"/>
              </w:rPr>
              <w:t>验收</w:t>
            </w:r>
            <w:r>
              <w:rPr>
                <w:rFonts w:ascii="仿宋_GB2312" w:hAnsi="仿宋_GB2312" w:cs="仿宋_GB2312" w:eastAsia="仿宋_GB2312"/>
                <w:sz w:val="24"/>
              </w:rPr>
              <w:t>机构负责组织实施。由采购方组织验收，包括项目验收申请及批复材料、项目中标人基本情况、招投标资料、中标通知书、项目合同、项目实施方案、项目实施总结报告等资料。验收合格后签发验收</w:t>
            </w:r>
            <w:r>
              <w:rPr>
                <w:rFonts w:ascii="仿宋_GB2312" w:hAnsi="仿宋_GB2312" w:cs="仿宋_GB2312" w:eastAsia="仿宋_GB2312"/>
                <w:sz w:val="24"/>
              </w:rPr>
              <w:t>单</w:t>
            </w:r>
            <w:r>
              <w:rPr>
                <w:rFonts w:ascii="仿宋_GB2312" w:hAnsi="仿宋_GB2312" w:cs="仿宋_GB2312" w:eastAsia="仿宋_GB2312"/>
                <w:sz w:val="24"/>
              </w:rPr>
              <w:t>。</w:t>
            </w:r>
          </w:p>
          <w:p>
            <w:pPr>
              <w:pStyle w:val="null3"/>
              <w:ind w:firstLine="470"/>
              <w:jc w:val="both"/>
            </w:pPr>
            <w:r>
              <w:rPr>
                <w:rFonts w:ascii="仿宋_GB2312" w:hAnsi="仿宋_GB2312" w:cs="仿宋_GB2312" w:eastAsia="仿宋_GB2312"/>
                <w:sz w:val="24"/>
              </w:rPr>
              <w:t>2、验收依据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1）合同文本及合同补充文件（条款）。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2）招标文件。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3）中标人的投标文件。</w:t>
            </w:r>
          </w:p>
          <w:p>
            <w:pPr>
              <w:pStyle w:val="null3"/>
              <w:ind w:firstLine="470"/>
              <w:jc w:val="both"/>
            </w:pPr>
            <w:r>
              <w:rPr>
                <w:rFonts w:ascii="仿宋_GB2312" w:hAnsi="仿宋_GB2312" w:cs="仿宋_GB2312" w:eastAsia="仿宋_GB2312"/>
                <w:sz w:val="24"/>
              </w:rPr>
              <w:t>五</w:t>
            </w:r>
            <w:r>
              <w:rPr>
                <w:rFonts w:ascii="仿宋_GB2312" w:hAnsi="仿宋_GB2312" w:cs="仿宋_GB2312" w:eastAsia="仿宋_GB2312"/>
                <w:sz w:val="24"/>
              </w:rPr>
              <w:t>、知识产权：</w:t>
            </w:r>
          </w:p>
          <w:p>
            <w:pPr>
              <w:pStyle w:val="null3"/>
              <w:ind w:firstLine="470"/>
              <w:jc w:val="both"/>
            </w:pPr>
            <w:r>
              <w:rPr>
                <w:rFonts w:ascii="仿宋_GB2312" w:hAnsi="仿宋_GB2312" w:cs="仿宋_GB2312" w:eastAsia="仿宋_GB2312"/>
                <w:sz w:val="24"/>
              </w:rPr>
              <w:t>投标人应保证投标货物及服务不会出现因第三方提出侵犯其专利权、商标权或其它知识产权而引发法律或经济纠纷，否则由投标人承担全部责任。任何被投标人用于未经授权的商业目的行为所造成的违约或侵权责任由投标人承但。</w:t>
            </w:r>
          </w:p>
          <w:p>
            <w:pPr>
              <w:pStyle w:val="null3"/>
              <w:ind w:firstLine="470"/>
              <w:jc w:val="both"/>
            </w:pPr>
            <w:r>
              <w:rPr>
                <w:rFonts w:ascii="仿宋_GB2312" w:hAnsi="仿宋_GB2312" w:cs="仿宋_GB2312" w:eastAsia="仿宋_GB2312"/>
                <w:sz w:val="24"/>
              </w:rPr>
              <w:t>六</w:t>
            </w:r>
            <w:r>
              <w:rPr>
                <w:rFonts w:ascii="仿宋_GB2312" w:hAnsi="仿宋_GB2312" w:cs="仿宋_GB2312" w:eastAsia="仿宋_GB2312"/>
                <w:sz w:val="24"/>
              </w:rPr>
              <w:t>、</w:t>
            </w:r>
            <w:r>
              <w:rPr>
                <w:rFonts w:ascii="仿宋_GB2312" w:hAnsi="仿宋_GB2312" w:cs="仿宋_GB2312" w:eastAsia="仿宋_GB2312"/>
                <w:sz w:val="24"/>
              </w:rPr>
              <w:t>服务承诺</w:t>
            </w:r>
          </w:p>
          <w:p>
            <w:pPr>
              <w:pStyle w:val="null3"/>
              <w:ind w:firstLine="470"/>
              <w:jc w:val="both"/>
            </w:pPr>
            <w:r>
              <w:rPr>
                <w:rFonts w:ascii="仿宋_GB2312" w:hAnsi="仿宋_GB2312" w:cs="仿宋_GB2312" w:eastAsia="仿宋_GB2312"/>
                <w:sz w:val="24"/>
              </w:rPr>
              <w:t>投标人应遵照国家规范规定的技术服务内容及要求作出明确承诺。</w:t>
            </w:r>
          </w:p>
          <w:p>
            <w:pPr>
              <w:pStyle w:val="null3"/>
              <w:ind w:firstLine="480"/>
              <w:jc w:val="both"/>
            </w:pPr>
            <w:r>
              <w:rPr>
                <w:rFonts w:ascii="仿宋_GB2312" w:hAnsi="仿宋_GB2312" w:cs="仿宋_GB2312" w:eastAsia="仿宋_GB2312"/>
                <w:sz w:val="24"/>
              </w:rPr>
              <w:t>七</w:t>
            </w:r>
            <w:r>
              <w:rPr>
                <w:rFonts w:ascii="仿宋_GB2312" w:hAnsi="仿宋_GB2312" w:cs="仿宋_GB2312" w:eastAsia="仿宋_GB2312"/>
                <w:sz w:val="24"/>
              </w:rPr>
              <w:t>、</w:t>
            </w:r>
            <w:r>
              <w:rPr>
                <w:rFonts w:ascii="仿宋_GB2312" w:hAnsi="仿宋_GB2312" w:cs="仿宋_GB2312" w:eastAsia="仿宋_GB2312"/>
                <w:sz w:val="24"/>
              </w:rPr>
              <w:t>合同实施</w:t>
            </w:r>
          </w:p>
          <w:p>
            <w:pPr>
              <w:pStyle w:val="null3"/>
              <w:ind w:firstLine="480"/>
              <w:jc w:val="both"/>
            </w:pPr>
            <w:r>
              <w:rPr>
                <w:rFonts w:ascii="仿宋_GB2312" w:hAnsi="仿宋_GB2312" w:cs="仿宋_GB2312" w:eastAsia="仿宋_GB2312"/>
                <w:sz w:val="24"/>
              </w:rPr>
              <w:t>若未能在服务期内完成合同规定的义务，由此对采购</w:t>
            </w:r>
            <w:r>
              <w:rPr>
                <w:rFonts w:ascii="仿宋_GB2312" w:hAnsi="仿宋_GB2312" w:cs="仿宋_GB2312" w:eastAsia="仿宋_GB2312"/>
                <w:sz w:val="24"/>
              </w:rPr>
              <w:t>方</w:t>
            </w:r>
            <w:r>
              <w:rPr>
                <w:rFonts w:ascii="仿宋_GB2312" w:hAnsi="仿宋_GB2312" w:cs="仿宋_GB2312" w:eastAsia="仿宋_GB2312"/>
                <w:sz w:val="24"/>
              </w:rPr>
              <w:t>造成的延误和一切损失，由中标人承担和赔偿。</w:t>
            </w:r>
          </w:p>
          <w:p>
            <w:pPr>
              <w:pStyle w:val="null3"/>
              <w:ind w:firstLine="480"/>
              <w:jc w:val="both"/>
            </w:pPr>
            <w:r>
              <w:rPr>
                <w:rFonts w:ascii="仿宋_GB2312" w:hAnsi="仿宋_GB2312" w:cs="仿宋_GB2312" w:eastAsia="仿宋_GB2312"/>
                <w:sz w:val="24"/>
              </w:rPr>
              <w:t>八</w:t>
            </w:r>
            <w:r>
              <w:rPr>
                <w:rFonts w:ascii="仿宋_GB2312" w:hAnsi="仿宋_GB2312" w:cs="仿宋_GB2312" w:eastAsia="仿宋_GB2312"/>
                <w:sz w:val="24"/>
              </w:rPr>
              <w:t>、违约责任：</w:t>
            </w:r>
          </w:p>
          <w:p>
            <w:pPr>
              <w:pStyle w:val="null3"/>
              <w:ind w:firstLine="480"/>
              <w:jc w:val="both"/>
            </w:pPr>
            <w:r>
              <w:rPr>
                <w:rFonts w:ascii="仿宋_GB2312" w:hAnsi="仿宋_GB2312" w:cs="仿宋_GB2312" w:eastAsia="仿宋_GB2312"/>
                <w:sz w:val="24"/>
              </w:rPr>
              <w:t>1、按《中华人民共和国合同法》中的相关条款执行。</w:t>
            </w:r>
          </w:p>
          <w:p>
            <w:pPr>
              <w:pStyle w:val="null3"/>
              <w:ind w:firstLine="200"/>
              <w:jc w:val="both"/>
            </w:pPr>
            <w:r>
              <w:rPr>
                <w:rFonts w:ascii="仿宋_GB2312" w:hAnsi="仿宋_GB2312" w:cs="仿宋_GB2312" w:eastAsia="仿宋_GB2312"/>
                <w:sz w:val="24"/>
              </w:rPr>
              <w:t>2、未按合同要求提供服务的，采购</w:t>
            </w:r>
            <w:r>
              <w:rPr>
                <w:rFonts w:ascii="仿宋_GB2312" w:hAnsi="仿宋_GB2312" w:cs="仿宋_GB2312" w:eastAsia="仿宋_GB2312"/>
                <w:sz w:val="24"/>
              </w:rPr>
              <w:t>方</w:t>
            </w:r>
            <w:r>
              <w:rPr>
                <w:rFonts w:ascii="仿宋_GB2312" w:hAnsi="仿宋_GB2312" w:cs="仿宋_GB2312" w:eastAsia="仿宋_GB2312"/>
                <w:sz w:val="24"/>
              </w:rPr>
              <w:t>有权终止合同，并对供方违约行为进行追究，同时按《政府采购法》的有关规定进行处罚。</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满足采购人和招标文件规范标准要求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满足采购人和招标文件规范标准要求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满足采购人和招标文件规范标准要求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合同签订生效后的5个月内完成项目</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满足采购人及招标文件规范标准要求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合同签订后5个工作日内，乙方向甲方出具合同总价款5%金额的银行保函，保函有效期截止到项目终验合格之日结束，甲方收到乙方合格银行保函后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满足采购人及招标文件规范标准要求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满足采购人和招标文件规范标准要求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说明及承诺</w:t>
            </w:r>
          </w:p>
        </w:tc>
        <w:tc>
          <w:tcPr>
            <w:tcW w:type="dxa" w:w="3322"/>
          </w:tcPr>
          <w:p>
            <w:pPr>
              <w:pStyle w:val="null3"/>
            </w:pPr>
            <w:r>
              <w:rPr>
                <w:rFonts w:ascii="仿宋_GB2312" w:hAnsi="仿宋_GB2312" w:cs="仿宋_GB2312" w:eastAsia="仿宋_GB2312"/>
              </w:rPr>
              <w:t>具备履行合同所必须的设备和专业技术能力的说明及承诺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供应商在近三年经营活动中没有重大违法记录的声明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财务状况报告（二选一）</w:t>
            </w:r>
          </w:p>
        </w:tc>
        <w:tc>
          <w:tcPr>
            <w:tcW w:type="dxa" w:w="3322"/>
          </w:tcPr>
          <w:p>
            <w:pPr>
              <w:pStyle w:val="null3"/>
            </w:pPr>
            <w:r>
              <w:rPr>
                <w:rFonts w:ascii="仿宋_GB2312" w:hAnsi="仿宋_GB2312" w:cs="仿宋_GB2312" w:eastAsia="仿宋_GB2312"/>
              </w:rPr>
              <w:t>财务状况报告（二选一）：①供应商提供2024年度经会计事务所或审计机构审计的完整的财务审计报告（成立时间至提供投标文件截止时间不足一年的可提供成立后任意时段的资产负债表）；②在投标截止时间前三个月内其开户银行出具的资信证明（附开户许可证或基本账户存款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税收缴纳证明：供应商提供已缴纳的2025年1月至今至少一个月的纳税证明或完税证明（任意税种）；依法免税的单位应提供相关文件证明；供应商为零申报企业提供证明材料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社会保障资金缴纳证明：供应商提供已缴存的2025年1月至今至少一个月的社会保障资金缴存单据或社保机构开具的社会保险参保缴费情况证明，依法不需要缴纳社会保障资金的单位应提供相关证明材料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由代理机构现场查询）</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本项目不接受联合体投标（提供非联合体承诺书）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单位负责人为同一人或者存在控股、管理关系的不同单位不得同时投标（提供供应商企业关系关联承诺书）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投标保证金交纳凭证及开户许可证或基本账户存款信息</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投标供应商名称与获取招标文件的单位名称一致的</w:t>
            </w:r>
          </w:p>
        </w:tc>
        <w:tc>
          <w:tcPr>
            <w:tcW w:type="dxa" w:w="3322"/>
          </w:tcPr>
          <w:p>
            <w:pPr>
              <w:pStyle w:val="null3"/>
            </w:pPr>
            <w:r>
              <w:rPr>
                <w:rFonts w:ascii="仿宋_GB2312" w:hAnsi="仿宋_GB2312" w:cs="仿宋_GB2312" w:eastAsia="仿宋_GB2312"/>
              </w:rPr>
              <w:t>投标供应商名称与获取招标文件的单位名称一致的</w:t>
            </w:r>
          </w:p>
        </w:tc>
        <w:tc>
          <w:tcPr>
            <w:tcW w:type="dxa" w:w="1661"/>
          </w:tcPr>
          <w:p>
            <w:pPr>
              <w:pStyle w:val="null3"/>
            </w:pPr>
            <w:r>
              <w:rPr>
                <w:rFonts w:ascii="仿宋_GB2312" w:hAnsi="仿宋_GB2312" w:cs="仿宋_GB2312" w:eastAsia="仿宋_GB2312"/>
              </w:rPr>
              <w:t>开标一览表 投标函 中小企业声明函 残疾人福利性单位声明函 标的清单 其他资料.docx 投标文件封面 承诺文件.docx 项目实施方案.docx 商务偏离表.docx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投标文件按照招标文件规定要求签署、盖章的</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投标函 中小企业声明函 残疾人福利性单位声明函 标的清单 其他资料.docx 投标文件封面 承诺文件.docx 项目实施方案.docx 商务偏离表.docx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具有有效的投标有效期</w:t>
            </w:r>
          </w:p>
        </w:tc>
        <w:tc>
          <w:tcPr>
            <w:tcW w:type="dxa" w:w="3322"/>
          </w:tcPr>
          <w:p>
            <w:pPr>
              <w:pStyle w:val="null3"/>
            </w:pPr>
            <w:r>
              <w:rPr>
                <w:rFonts w:ascii="仿宋_GB2312" w:hAnsi="仿宋_GB2312" w:cs="仿宋_GB2312" w:eastAsia="仿宋_GB2312"/>
              </w:rPr>
              <w:t>具有有效的投标有效期</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报价未超过招标文件中规定的预算金额或者最高限价的</w:t>
            </w:r>
          </w:p>
        </w:tc>
        <w:tc>
          <w:tcPr>
            <w:tcW w:type="dxa" w:w="3322"/>
          </w:tcPr>
          <w:p>
            <w:pPr>
              <w:pStyle w:val="null3"/>
            </w:pPr>
            <w:r>
              <w:rPr>
                <w:rFonts w:ascii="仿宋_GB2312" w:hAnsi="仿宋_GB2312" w:cs="仿宋_GB2312" w:eastAsia="仿宋_GB2312"/>
              </w:rPr>
              <w:t>报价未超过招标文件中规定的预算金额或者最高限价的</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对招标文件商务要求未出现重大负偏离的</w:t>
            </w:r>
          </w:p>
        </w:tc>
        <w:tc>
          <w:tcPr>
            <w:tcW w:type="dxa" w:w="3322"/>
          </w:tcPr>
          <w:p>
            <w:pPr>
              <w:pStyle w:val="null3"/>
            </w:pPr>
            <w:r>
              <w:rPr>
                <w:rFonts w:ascii="仿宋_GB2312" w:hAnsi="仿宋_GB2312" w:cs="仿宋_GB2312" w:eastAsia="仿宋_GB2312"/>
              </w:rPr>
              <w:t>对招标文件商务要求未出现重大负偏离的</w:t>
            </w:r>
          </w:p>
        </w:tc>
        <w:tc>
          <w:tcPr>
            <w:tcW w:type="dxa" w:w="1661"/>
          </w:tcPr>
          <w:p>
            <w:pPr>
              <w:pStyle w:val="null3"/>
            </w:pPr>
            <w:r>
              <w:rPr>
                <w:rFonts w:ascii="仿宋_GB2312" w:hAnsi="仿宋_GB2312" w:cs="仿宋_GB2312" w:eastAsia="仿宋_GB2312"/>
              </w:rPr>
              <w:t>开标一览表 投标函 中小企业声明函 残疾人福利性单位声明函 标的清单 其他资料.docx 投标文件封面 承诺文件.docx 项目实施方案.docx 商务偏离表.docx 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团队力量</w:t>
            </w:r>
          </w:p>
        </w:tc>
        <w:tc>
          <w:tcPr>
            <w:tcW w:type="dxa" w:w="2492"/>
          </w:tcPr>
          <w:p>
            <w:pPr>
              <w:pStyle w:val="null3"/>
            </w:pPr>
            <w:r>
              <w:rPr>
                <w:rFonts w:ascii="仿宋_GB2312" w:hAnsi="仿宋_GB2312" w:cs="仿宋_GB2312" w:eastAsia="仿宋_GB2312"/>
              </w:rPr>
              <w:t>1、本项目的项目团队人员中拥有技术职称人数情况：拟派项目小组人员中，具有通信领域中级职称，每人1分，最高得5分；具有通信领域高级职称，每人2分，最高得4分；本项最高9分。 （需提供以上人员由政府机关颁发的技术职称证明材料和近3个月的人员社保缴纳证明并加盖公章（若公司成立不足三个月需提供在职证明）） 2、项目负责人具备5年无线电监测设施测试工作经验，并出具过检测报告得6分。 （提供近3个月的人员社保缴纳证明并加盖公章（若公司成立不足三个月需提供在职证明）；提供项目负责人签署的带有CNAS及CMA标识的无线电发射设备检测报告首页和人员签字页复印件，加盖公章。）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承诺文件.docx</w:t>
            </w:r>
          </w:p>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技术偏离情况</w:t>
            </w:r>
          </w:p>
        </w:tc>
        <w:tc>
          <w:tcPr>
            <w:tcW w:type="dxa" w:w="2492"/>
          </w:tcPr>
          <w:p>
            <w:pPr>
              <w:pStyle w:val="null3"/>
            </w:pPr>
            <w:r>
              <w:rPr>
                <w:rFonts w:ascii="仿宋_GB2312" w:hAnsi="仿宋_GB2312" w:cs="仿宋_GB2312" w:eastAsia="仿宋_GB2312"/>
              </w:rPr>
              <w:t>供应商具有经中国国家认证认可监督管理委员会认证机构颁发的有效的信息安全管理体系认证证书（ISO27001）、质量管理体系认证证书（ISO9001）、信息技术服务管理体系认证证书（ISO20000），每提供一项得2分，满分6分。 注：投标文件中提供证书扫描件及全国认证认可信息公共服务平台官网证书查询截图。</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承诺文件.docx</w:t>
            </w:r>
          </w:p>
        </w:tc>
      </w:tr>
      <w:tr>
        <w:tc>
          <w:tcPr>
            <w:tcW w:type="dxa" w:w="831"/>
            <w:vMerge/>
          </w:tcPr>
          <w:p/>
        </w:tc>
        <w:tc>
          <w:tcPr>
            <w:tcW w:type="dxa" w:w="1661"/>
          </w:tcPr>
          <w:p>
            <w:pPr>
              <w:pStyle w:val="null3"/>
            </w:pPr>
            <w:r>
              <w:rPr>
                <w:rFonts w:ascii="仿宋_GB2312" w:hAnsi="仿宋_GB2312" w:cs="仿宋_GB2312" w:eastAsia="仿宋_GB2312"/>
              </w:rPr>
              <w:t>项目采购需求分析</w:t>
            </w:r>
          </w:p>
        </w:tc>
        <w:tc>
          <w:tcPr>
            <w:tcW w:type="dxa" w:w="2492"/>
          </w:tcPr>
          <w:p>
            <w:pPr>
              <w:pStyle w:val="null3"/>
            </w:pPr>
            <w:r>
              <w:rPr>
                <w:rFonts w:ascii="仿宋_GB2312" w:hAnsi="仿宋_GB2312" w:cs="仿宋_GB2312" w:eastAsia="仿宋_GB2312"/>
              </w:rPr>
              <w:t>一、评审内容 针对本项目提供项目采购需求分析，包括但不限于①对工作内容、目标理解；②对项目重点难点分析及解决方案。 二、评审标准 1、完整性：方案须全面，对评审内容中的各项要求有详细描述； 2、可实施性：切合本项目实际情况，实施步骤清晰、合理； 3、针对性：方案能够紧扣项目实际情况，内容科学合理。 三、赋分依据（满分6分） ①对工作内容、目标理解：每完全满足一个评审标准得1分，满分3分； ②对项目重点难点分析及解决方案：每完全满足一个评审标准得1分，满分3分。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承诺文件.docx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针对本项目提供项目实施方案，包括但不限于①固定监测站测试验证技术方案；②移动监测站测试验证技术方案；③可搬移监测站测试验证技术方案；④测试结果及总结。 二、评审标准 1、完整性：方案须全面，对评审内容中的各项要求有详细描述； 2、可实施性：切合本项目实际情况，实施步骤清晰、合理； 3、针对性：方案能够紧扣项目实际情况，内容科学合理。 三、赋分依据（满分15分） ①固定监测站测试验证技术方案：每完全满足一个评审标准得2分，满分6分； ②移动监测站测试验证技术方案：每完全满足一个评审标准得1分，满分3分； ③可搬移监测站测试验证技术方案：每完全满足一个评审标准得1分，满分3分； ④测试结果及总结：每完全满足一个评审标准得1分，满分3分。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承诺文件.docx</w:t>
            </w:r>
          </w:p>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服务保障体系</w:t>
            </w:r>
          </w:p>
        </w:tc>
        <w:tc>
          <w:tcPr>
            <w:tcW w:type="dxa" w:w="2492"/>
          </w:tcPr>
          <w:p>
            <w:pPr>
              <w:pStyle w:val="null3"/>
            </w:pPr>
            <w:r>
              <w:rPr>
                <w:rFonts w:ascii="仿宋_GB2312" w:hAnsi="仿宋_GB2312" w:cs="仿宋_GB2312" w:eastAsia="仿宋_GB2312"/>
              </w:rPr>
              <w:t>一、评审内容 针对本项目提供项目服务保障体系，包括但不限于①售后服务方案；②应急方案。 二、评审标准 1、完整性：方案须全面，对评审内容中的各项要求有详细描述； 2、可实施性：切合本项目实际情况，实施步骤清晰、合理； 3、针对性：方案能够紧扣项目实际情况，内容科学合理。 三、赋分依据（满分12分） ①售后服务方案：每完全满足一个评审标准得2分，满分6分； ②应急方案：每完全满足一个评审标准得2分，满分6分。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承诺文件.docx</w:t>
            </w:r>
          </w:p>
        </w:tc>
      </w:tr>
      <w:tr>
        <w:tc>
          <w:tcPr>
            <w:tcW w:type="dxa" w:w="831"/>
            <w:vMerge/>
          </w:tcPr>
          <w:p/>
        </w:tc>
        <w:tc>
          <w:tcPr>
            <w:tcW w:type="dxa" w:w="1661"/>
          </w:tcPr>
          <w:p>
            <w:pPr>
              <w:pStyle w:val="null3"/>
            </w:pPr>
            <w:r>
              <w:rPr>
                <w:rFonts w:ascii="仿宋_GB2312" w:hAnsi="仿宋_GB2312" w:cs="仿宋_GB2312" w:eastAsia="仿宋_GB2312"/>
              </w:rPr>
              <w:t>质量管理体系</w:t>
            </w:r>
          </w:p>
        </w:tc>
        <w:tc>
          <w:tcPr>
            <w:tcW w:type="dxa" w:w="2492"/>
          </w:tcPr>
          <w:p>
            <w:pPr>
              <w:pStyle w:val="null3"/>
            </w:pPr>
            <w:r>
              <w:rPr>
                <w:rFonts w:ascii="仿宋_GB2312" w:hAnsi="仿宋_GB2312" w:cs="仿宋_GB2312" w:eastAsia="仿宋_GB2312"/>
              </w:rPr>
              <w:t>一、评审内容 针对本项目提供项目质量管理体系，包括但不限于①质量保证措施；②开展测试验证工作程序或工作方法或工作指导书。 二、评审标准 1、完整性：方案须全面，对评审内容中的各项要求有详细描述； 2、可实施性：切合本项目实际情况，实施步骤清晰、合理； 3、针对性：方案能够紧扣项目实际情况，内容科学合理。 三、赋分依据（满分12分） ①质量保证措施：每完全满足一个评审标准得2分，满分6分； ②开展测试验证工作程序或工作方法或工作指导书：每完全满足一个评审标准得2分，满分6分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承诺文件.docx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针对本项目提供项目进度计划，包括但不限于①项目进度计划安排；②项目进度保障措施。 二、评审标准 1、完整性：方案须全面，对评审内容中的各项要求有详细描述； 2、可实施性、针对性：切合本项目实际情况，方案能够紧扣项目实际情况，实施步骤清晰、合理； 三、赋分依据（满分4分） ①项目进度计划安排：每完全满足一个评审标准得1分，满分2分； ②项目进度保障措施：每完全满足一个评审标准得1分，满分2分。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承诺文件.docx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提供近2022年10月至今完成的省级无线电管理机构测试验证实际案例，每提供1份业绩得2分，最高得10分。 （提供中标通知书、采购合同封面、签字盖章页及验收的证明材料，未提供或提供不全者不得分，复印件需加盖投标人公章）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承诺文件.docx</w:t>
            </w:r>
          </w:p>
        </w:tc>
      </w:tr>
      <w:tr>
        <w:tc>
          <w:tcPr>
            <w:tcW w:type="dxa" w:w="831"/>
            <w:vMerge/>
          </w:tcPr>
          <w:p/>
        </w:tc>
        <w:tc>
          <w:tcPr>
            <w:tcW w:type="dxa" w:w="1661"/>
          </w:tcPr>
          <w:p>
            <w:pPr>
              <w:pStyle w:val="null3"/>
            </w:pPr>
            <w:r>
              <w:rPr>
                <w:rFonts w:ascii="仿宋_GB2312" w:hAnsi="仿宋_GB2312" w:cs="仿宋_GB2312" w:eastAsia="仿宋_GB2312"/>
              </w:rPr>
              <w:t>仪表配备</w:t>
            </w:r>
          </w:p>
        </w:tc>
        <w:tc>
          <w:tcPr>
            <w:tcW w:type="dxa" w:w="2492"/>
          </w:tcPr>
          <w:p>
            <w:pPr>
              <w:pStyle w:val="null3"/>
            </w:pPr>
            <w:r>
              <w:rPr>
                <w:rFonts w:ascii="仿宋_GB2312" w:hAnsi="仿宋_GB2312" w:cs="仿宋_GB2312" w:eastAsia="仿宋_GB2312"/>
              </w:rPr>
              <w:t>项目配备10个（含）及以上仪表（天线、信号源或信号发生器、频谱仪）的，得10分；每少提供一个扣1分，最低得0分。 注：提供一年以内校准证书原件（首页）扫描件，不提供则不得分。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承诺文件.docx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采用低价优先法计算，即满足招标文件要求且投标价格最低的投标报价为评标基准价，其价格为10分。其他供应商的价格分按照下列公式计算：投标报价得分＝（评标基准价/投标报价）×10。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详见附件：承诺文件.docx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详见附件：合同格式与主要条款.docx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