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版本号：SXWZ2025ZB-YDDX-25720251105001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激光共聚焦显微镜采购项目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SXWZ2025ZB-YDDX-257</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激光共聚焦显微镜采购项目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SXWZ2025ZB-YDDX-257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激光共聚焦显微镜采购项目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激光共聚焦显微镜采购项目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须提供2025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3、税收缴纳证明：须提供2025年01月至今已缴纳的至少一个月纳税证明或完税证明，依法免税的单位应提供相关证明材料（以税款所属期为准）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4、财务状况证明：提供经会计师事务所审计的2023年或2024年任意一年的财务审计报告（带二维码可查验）或在开标日期前六个月内其基本开户银行出具的资信证明。</w:t>
      </w:r>
    </w:p>
    <w:p>
      <w:pPr>
        <w:pStyle w:val="null3"/>
      </w:pPr>
      <w:r>
        <w:rPr>
          <w:rFonts w:ascii="仿宋_GB2312" w:hAnsi="仿宋_GB2312" w:cs="仿宋_GB2312" w:eastAsia="仿宋_GB2312"/>
        </w:rPr>
        <w:t>5、无重大违法声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6、法定代表人或授权代表：非法定代表人参加谈判的，须提供法定代表人授权委托书及被授权人身份证；法定代表人参加谈判时,须提供法定代表人身份证明书。</w:t>
      </w:r>
    </w:p>
    <w:p>
      <w:pPr>
        <w:pStyle w:val="null3"/>
      </w:pPr>
      <w:r>
        <w:rPr>
          <w:rFonts w:ascii="仿宋_GB2312" w:hAnsi="仿宋_GB2312" w:cs="仿宋_GB2312" w:eastAsia="仿宋_GB2312"/>
        </w:rPr>
        <w:t>7、进口产品提供所投产品厂家授权书或总代理商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8、本项目不接受联合体谈判：本项目不接受联合体谈判。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说明：（一）、履约保证金待合同履约完毕后无息退还。（二）、缴纳履约保证金时须注明项目编号及用途(履约保证金)。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代理服务费收费标准：参见原国家计委颁布的《招标代理服务费收费管理暂行办法》（计价格[2002]1980号）中服务类的收费标准下浮20%收取。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陕西万泽招标有限公司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郝思思 张航波 薛毅凡</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激光共聚焦显微镜采购项目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激光共聚焦显微镜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标的名称：激光共聚焦显微镜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#1、放大倍率：110～17000X；</w:t>
            </w:r>
          </w:p>
          <w:p>
            <w:pPr>
              <w:pStyle w:val="null3"/>
              <w:jc w:val="both"/>
            </w:pPr>
            <w:r>
              <w:rPr>
                <w:rFonts w:ascii="仿宋_GB2312" w:hAnsi="仿宋_GB2312" w:cs="仿宋_GB2312" w:eastAsia="仿宋_GB2312"/>
              </w:rPr>
              <w:t>#2、分辨率：水平分辨率0.12μm，显示分辨率1nm，高度显示分辨率0.5nm，支持拓展Z轴高度分辨率至0.08nm接口；</w:t>
            </w:r>
          </w:p>
          <w:p>
            <w:pPr>
              <w:pStyle w:val="null3"/>
              <w:jc w:val="both"/>
            </w:pPr>
            <w:r>
              <w:rPr>
                <w:rFonts w:ascii="仿宋_GB2312" w:hAnsi="仿宋_GB2312" w:cs="仿宋_GB2312" w:eastAsia="仿宋_GB2312"/>
              </w:rPr>
              <w:t>#3、激光、白光双光路，激光光源波长≤410nm。可见光为LED光源。</w:t>
            </w:r>
          </w:p>
          <w:p>
            <w:pPr>
              <w:pStyle w:val="null3"/>
              <w:jc w:val="both"/>
            </w:pPr>
            <w:r>
              <w:rPr>
                <w:rFonts w:ascii="仿宋_GB2312" w:hAnsi="仿宋_GB2312" w:cs="仿宋_GB2312" w:eastAsia="仿宋_GB2312"/>
              </w:rPr>
              <w:t>#4、扫描单视域最大图像分辨率≥4096*4096；</w:t>
            </w:r>
          </w:p>
          <w:p>
            <w:pPr>
              <w:pStyle w:val="null3"/>
              <w:jc w:val="both"/>
            </w:pPr>
            <w:r>
              <w:rPr>
                <w:rFonts w:ascii="仿宋_GB2312" w:hAnsi="仿宋_GB2312" w:cs="仿宋_GB2312" w:eastAsia="仿宋_GB2312"/>
              </w:rPr>
              <w:t>#5、观察方式种类：激光共焦、彩色明场、彩色偏光 ；</w:t>
            </w:r>
          </w:p>
          <w:p>
            <w:pPr>
              <w:pStyle w:val="null3"/>
              <w:jc w:val="both"/>
            </w:pPr>
            <w:r>
              <w:rPr>
                <w:rFonts w:ascii="仿宋_GB2312" w:hAnsi="仿宋_GB2312" w:cs="仿宋_GB2312" w:eastAsia="仿宋_GB2312"/>
              </w:rPr>
              <w:t>#6、共焦装置：双共焦光路系统；</w:t>
            </w:r>
          </w:p>
          <w:p>
            <w:pPr>
              <w:pStyle w:val="null3"/>
              <w:jc w:val="both"/>
            </w:pPr>
            <w:r>
              <w:rPr>
                <w:rFonts w:ascii="仿宋_GB2312" w:hAnsi="仿宋_GB2312" w:cs="仿宋_GB2312" w:eastAsia="仿宋_GB2312"/>
              </w:rPr>
              <w:t>#7、防震功能：机身具备物理防震功能；</w:t>
            </w:r>
          </w:p>
          <w:p>
            <w:pPr>
              <w:pStyle w:val="null3"/>
              <w:jc w:val="both"/>
            </w:pPr>
            <w:r>
              <w:rPr>
                <w:rFonts w:ascii="仿宋_GB2312" w:hAnsi="仿宋_GB2312" w:cs="仿宋_GB2312" w:eastAsia="仿宋_GB2312"/>
              </w:rPr>
              <w:t>#8、电动载物台：电动载物台，可通过软件或控制手柄控制载物台≥8方向移动；行程≥100*100mm，支持载物台Z轴拓展；</w:t>
            </w:r>
          </w:p>
          <w:p>
            <w:pPr>
              <w:pStyle w:val="null3"/>
              <w:jc w:val="both"/>
            </w:pPr>
            <w:r>
              <w:rPr>
                <w:rFonts w:ascii="仿宋_GB2312" w:hAnsi="仿宋_GB2312" w:cs="仿宋_GB2312" w:eastAsia="仿宋_GB2312"/>
              </w:rPr>
              <w:t>#9、物镜：5X、10X、20X、50X、100X各一个，其中10X、20X、50X、100X均为激光共聚焦专用物镜，5倍物镜数值孔径≥0.15，工作距离≥20mm；10倍激光专用物镜数值孔径≥0.30，工作距离≥10.0mm；20倍APO激光专用物镜数值孔径≥0.60，工作距离≥1mm；50倍APO激光专用物镜数值孔径≥0.90，工作距离≥0.30mm；100倍APO激光专用物镜数值孔径≥0.90，工作距离≥0.30mm；</w:t>
            </w:r>
          </w:p>
          <w:p>
            <w:pPr>
              <w:pStyle w:val="null3"/>
              <w:jc w:val="both"/>
            </w:pPr>
            <w:r>
              <w:rPr>
                <w:rFonts w:ascii="仿宋_GB2312" w:hAnsi="仿宋_GB2312" w:cs="仿宋_GB2312" w:eastAsia="仿宋_GB2312"/>
              </w:rPr>
              <w:t>10、物镜转换器：≥6孔电动物镜转换器，具有防碰撞保护功能，物镜切换时自动回缩，范围1-10mm；</w:t>
            </w:r>
          </w:p>
          <w:p>
            <w:pPr>
              <w:pStyle w:val="null3"/>
              <w:jc w:val="both"/>
            </w:pPr>
            <w:r>
              <w:rPr>
                <w:rFonts w:ascii="仿宋_GB2312" w:hAnsi="仿宋_GB2312" w:cs="仿宋_GB2312" w:eastAsia="仿宋_GB2312"/>
              </w:rPr>
              <w:t>#11、精度要求：</w:t>
            </w:r>
          </w:p>
          <w:p>
            <w:pPr>
              <w:pStyle w:val="null3"/>
              <w:jc w:val="both"/>
            </w:pPr>
            <w:r>
              <w:rPr>
                <w:rFonts w:ascii="仿宋_GB2312" w:hAnsi="仿宋_GB2312" w:cs="仿宋_GB2312" w:eastAsia="仿宋_GB2312"/>
              </w:rPr>
              <w:t>XY轴测量准确度：±1.5%；</w:t>
            </w:r>
          </w:p>
          <w:p>
            <w:pPr>
              <w:pStyle w:val="null3"/>
              <w:jc w:val="both"/>
            </w:pPr>
            <w:r>
              <w:rPr>
                <w:rFonts w:ascii="仿宋_GB2312" w:hAnsi="仿宋_GB2312" w:cs="仿宋_GB2312" w:eastAsia="仿宋_GB2312"/>
              </w:rPr>
              <w:t>XY轴重复性：≤0.02μm（@3σn-1）；</w:t>
            </w:r>
          </w:p>
          <w:p>
            <w:pPr>
              <w:pStyle w:val="null3"/>
              <w:jc w:val="both"/>
            </w:pPr>
            <w:r>
              <w:rPr>
                <w:rFonts w:ascii="仿宋_GB2312" w:hAnsi="仿宋_GB2312" w:cs="仿宋_GB2312" w:eastAsia="仿宋_GB2312"/>
              </w:rPr>
              <w:t>Z轴测量准确度：≤0.15+L/100 μm；（L=测量长度μm）；</w:t>
            </w:r>
          </w:p>
          <w:p>
            <w:pPr>
              <w:pStyle w:val="null3"/>
              <w:jc w:val="both"/>
            </w:pPr>
            <w:r>
              <w:rPr>
                <w:rFonts w:ascii="仿宋_GB2312" w:hAnsi="仿宋_GB2312" w:cs="仿宋_GB2312" w:eastAsia="仿宋_GB2312"/>
              </w:rPr>
              <w:t>Z轴重复精度：≤0.012 μm，图像拼接准确度：≤7+0.5Lμm；</w:t>
            </w:r>
          </w:p>
          <w:p>
            <w:pPr>
              <w:pStyle w:val="null3"/>
              <w:jc w:val="both"/>
            </w:pPr>
            <w:r>
              <w:rPr>
                <w:rFonts w:ascii="仿宋_GB2312" w:hAnsi="仿宋_GB2312" w:cs="仿宋_GB2312" w:eastAsia="仿宋_GB2312"/>
              </w:rPr>
              <w:t>#12、编程自定义扫描：带程序编辑器，可以自定义扫描程序、镜头切换程序、自定义≥2个扫描区域。自定义程序后，要求一键扫描≥9个点，同时获得≥2个区域的三维数据以供分析。</w:t>
            </w:r>
          </w:p>
          <w:p>
            <w:pPr>
              <w:pStyle w:val="null3"/>
              <w:jc w:val="both"/>
            </w:pPr>
            <w:r>
              <w:rPr>
                <w:rFonts w:ascii="仿宋_GB2312" w:hAnsi="仿宋_GB2312" w:cs="仿宋_GB2312" w:eastAsia="仿宋_GB2312"/>
              </w:rPr>
              <w:t>13、数据采集模式：≥5种。</w:t>
            </w:r>
          </w:p>
          <w:p>
            <w:pPr>
              <w:pStyle w:val="null3"/>
              <w:jc w:val="both"/>
            </w:pPr>
            <w:r>
              <w:rPr>
                <w:rFonts w:ascii="仿宋_GB2312" w:hAnsi="仿宋_GB2312" w:cs="仿宋_GB2312" w:eastAsia="仿宋_GB2312"/>
              </w:rPr>
              <w:t>14、宽带扫描模式。</w:t>
            </w:r>
          </w:p>
          <w:p>
            <w:pPr>
              <w:pStyle w:val="null3"/>
              <w:jc w:val="both"/>
            </w:pPr>
            <w:r>
              <w:rPr>
                <w:rFonts w:ascii="仿宋_GB2312" w:hAnsi="仿宋_GB2312" w:cs="仿宋_GB2312" w:eastAsia="仿宋_GB2312"/>
              </w:rPr>
              <w:t>15、一键式自动校正。</w:t>
            </w:r>
          </w:p>
          <w:p>
            <w:pPr>
              <w:pStyle w:val="null3"/>
              <w:jc w:val="both"/>
            </w:pPr>
            <w:r>
              <w:rPr>
                <w:rFonts w:ascii="仿宋_GB2312" w:hAnsi="仿宋_GB2312" w:cs="仿宋_GB2312" w:eastAsia="仿宋_GB2312"/>
              </w:rPr>
              <w:t>16、具备线粗糙度和面粗糙度测量功能；</w:t>
            </w:r>
          </w:p>
          <w:p>
            <w:pPr>
              <w:pStyle w:val="null3"/>
              <w:jc w:val="both"/>
            </w:pPr>
            <w:r>
              <w:rPr>
                <w:rFonts w:ascii="仿宋_GB2312" w:hAnsi="仿宋_GB2312" w:cs="仿宋_GB2312" w:eastAsia="仿宋_GB2312"/>
              </w:rPr>
              <w:t>#17、最大观察倾角：≥87°。</w:t>
            </w:r>
          </w:p>
          <w:p>
            <w:pPr>
              <w:pStyle w:val="null3"/>
              <w:jc w:val="both"/>
            </w:pPr>
            <w:r>
              <w:rPr>
                <w:rFonts w:ascii="仿宋_GB2312" w:hAnsi="仿宋_GB2312" w:cs="仿宋_GB2312" w:eastAsia="仿宋_GB2312"/>
              </w:rPr>
              <w:t>18、具备自动三维/二维拼图功能；</w:t>
            </w:r>
          </w:p>
          <w:p>
            <w:pPr>
              <w:pStyle w:val="null3"/>
              <w:jc w:val="both"/>
            </w:pPr>
            <w:r>
              <w:rPr>
                <w:rFonts w:ascii="仿宋_GB2312" w:hAnsi="仿宋_GB2312" w:cs="仿宋_GB2312" w:eastAsia="仿宋_GB2312"/>
              </w:rPr>
              <w:t>19、实时自动聚焦，一键三维图像获取，自动识别高低点；</w:t>
            </w:r>
          </w:p>
          <w:p>
            <w:pPr>
              <w:pStyle w:val="null3"/>
              <w:jc w:val="both"/>
            </w:pPr>
            <w:r>
              <w:rPr>
                <w:rFonts w:ascii="仿宋_GB2312" w:hAnsi="仿宋_GB2312" w:cs="仿宋_GB2312" w:eastAsia="仿宋_GB2312"/>
              </w:rPr>
              <w:t>20、数据一键导出及一键创建报告，包含图像及测量数据，报告模板及格式可修改；</w:t>
            </w:r>
          </w:p>
          <w:p>
            <w:pPr>
              <w:pStyle w:val="null3"/>
              <w:jc w:val="both"/>
            </w:pPr>
            <w:r>
              <w:rPr>
                <w:rFonts w:ascii="仿宋_GB2312" w:hAnsi="仿宋_GB2312" w:cs="仿宋_GB2312" w:eastAsia="仿宋_GB2312"/>
              </w:rPr>
              <w:t>21、具备多用户管理功能，可根据不同使用者习惯创建多用户及不同的操作设置；</w:t>
            </w:r>
          </w:p>
          <w:p>
            <w:pPr>
              <w:pStyle w:val="null3"/>
              <w:jc w:val="both"/>
            </w:pPr>
            <w:r>
              <w:rPr>
                <w:rFonts w:ascii="仿宋_GB2312" w:hAnsi="仿宋_GB2312" w:cs="仿宋_GB2312" w:eastAsia="仿宋_GB2312"/>
              </w:rPr>
              <w:t>22、具备基本几何元素测量：点、线、角度、面、圆、椭圆等；高度测量，包含空间两点的距离、高度；剖面测量具备横面夹角测量、横截面面积测量、横截面的曲率测量，可导出任意剖面曲线图；具备面积体积测量；粗糙度：支持线粗糙度测量、面粗糙度测量、专用粗糙度测量；可录制图像三维旋转动画；</w:t>
            </w:r>
          </w:p>
          <w:p>
            <w:pPr>
              <w:pStyle w:val="null3"/>
              <w:jc w:val="both"/>
            </w:pPr>
            <w:r>
              <w:rPr>
                <w:rFonts w:ascii="仿宋_GB2312" w:hAnsi="仿宋_GB2312" w:cs="仿宋_GB2312" w:eastAsia="仿宋_GB2312"/>
              </w:rPr>
              <w:t>23、数据硬件处理系统：配置不低于：i5、32G、512GB-SSD+1T硬盘、专业图形显卡、24英寸显示器，彩色激光打印机1台。</w:t>
            </w:r>
          </w:p>
          <w:p>
            <w:pPr>
              <w:pStyle w:val="null3"/>
              <w:jc w:val="both"/>
            </w:pPr>
            <w:r>
              <w:rPr>
                <w:rFonts w:ascii="仿宋_GB2312" w:hAnsi="仿宋_GB2312" w:cs="仿宋_GB2312" w:eastAsia="仿宋_GB2312"/>
              </w:rPr>
              <w:t>配置要求：</w:t>
            </w:r>
          </w:p>
          <w:p>
            <w:pPr>
              <w:pStyle w:val="null3"/>
              <w:jc w:val="both"/>
            </w:pPr>
            <w:r>
              <w:rPr>
                <w:rFonts w:ascii="仿宋_GB2312" w:hAnsi="仿宋_GB2312" w:cs="仿宋_GB2312" w:eastAsia="仿宋_GB2312"/>
              </w:rPr>
              <w:t>1、激光共聚焦显微镜主机一台</w:t>
            </w:r>
          </w:p>
          <w:p>
            <w:pPr>
              <w:pStyle w:val="null3"/>
              <w:jc w:val="both"/>
            </w:pPr>
            <w:r>
              <w:rPr>
                <w:rFonts w:ascii="仿宋_GB2312" w:hAnsi="仿宋_GB2312" w:cs="仿宋_GB2312" w:eastAsia="仿宋_GB2312"/>
              </w:rPr>
              <w:t>2、原厂控制箱一个</w:t>
            </w:r>
          </w:p>
          <w:p>
            <w:pPr>
              <w:pStyle w:val="null3"/>
              <w:jc w:val="both"/>
            </w:pPr>
            <w:r>
              <w:rPr>
                <w:rFonts w:ascii="仿宋_GB2312" w:hAnsi="仿宋_GB2312" w:cs="仿宋_GB2312" w:eastAsia="仿宋_GB2312"/>
              </w:rPr>
              <w:t>3、电动载物台一个</w:t>
            </w:r>
          </w:p>
          <w:p>
            <w:pPr>
              <w:pStyle w:val="null3"/>
              <w:jc w:val="both"/>
            </w:pPr>
            <w:r>
              <w:rPr>
                <w:rFonts w:ascii="仿宋_GB2312" w:hAnsi="仿宋_GB2312" w:cs="仿宋_GB2312" w:eastAsia="仿宋_GB2312"/>
              </w:rPr>
              <w:t>4、数据硬件处理系统一套</w:t>
            </w:r>
          </w:p>
          <w:p>
            <w:pPr>
              <w:pStyle w:val="null3"/>
              <w:jc w:val="both"/>
            </w:pPr>
            <w:r>
              <w:rPr>
                <w:rFonts w:ascii="仿宋_GB2312" w:hAnsi="仿宋_GB2312" w:cs="仿宋_GB2312" w:eastAsia="仿宋_GB2312"/>
              </w:rPr>
              <w:t>5、控制摇杆一个</w:t>
            </w:r>
          </w:p>
          <w:p>
            <w:pPr>
              <w:pStyle w:val="null3"/>
              <w:jc w:val="both"/>
            </w:pPr>
            <w:r>
              <w:rPr>
                <w:rFonts w:ascii="仿宋_GB2312" w:hAnsi="仿宋_GB2312" w:cs="仿宋_GB2312" w:eastAsia="仿宋_GB2312"/>
              </w:rPr>
              <w:t>6、激光共聚焦专用物镜镜头5个</w:t>
            </w:r>
          </w:p>
          <w:p>
            <w:pPr>
              <w:pStyle w:val="null3"/>
              <w:jc w:val="both"/>
            </w:pPr>
            <w:r>
              <w:rPr>
                <w:rFonts w:ascii="仿宋_GB2312" w:hAnsi="仿宋_GB2312" w:cs="仿宋_GB2312" w:eastAsia="仿宋_GB2312"/>
              </w:rPr>
              <w:t>7、彩色激光打印机1台</w:t>
            </w:r>
          </w:p>
          <w:p>
            <w:pPr>
              <w:pStyle w:val="null3"/>
              <w:jc w:val="both"/>
            </w:pPr>
            <w:r>
              <w:rPr>
                <w:rFonts w:ascii="仿宋_GB2312" w:hAnsi="仿宋_GB2312" w:cs="仿宋_GB2312" w:eastAsia="仿宋_GB2312"/>
                <w:sz w:val="21"/>
              </w:rPr>
              <w:t>（注：所有技术参数均须满足要求，</w:t>
            </w:r>
            <w:r>
              <w:rPr>
                <w:rFonts w:ascii="仿宋_GB2312" w:hAnsi="仿宋_GB2312" w:cs="仿宋_GB2312" w:eastAsia="仿宋_GB2312"/>
                <w:sz w:val="21"/>
              </w:rPr>
              <w:t>#技术参数必须提供佐证材料（包括但不限于产品彩页、</w:t>
            </w:r>
            <w:r>
              <w:rPr>
                <w:rFonts w:ascii="仿宋_GB2312" w:hAnsi="仿宋_GB2312" w:cs="仿宋_GB2312" w:eastAsia="仿宋_GB2312"/>
                <w:sz w:val="21"/>
              </w:rPr>
              <w:t>厂家</w:t>
            </w:r>
            <w:r>
              <w:rPr>
                <w:rFonts w:ascii="仿宋_GB2312" w:hAnsi="仿宋_GB2312" w:cs="仿宋_GB2312" w:eastAsia="仿宋_GB2312"/>
                <w:sz w:val="21"/>
              </w:rPr>
              <w:t>技术白皮书、</w:t>
            </w:r>
            <w:r>
              <w:rPr>
                <w:rFonts w:ascii="仿宋_GB2312" w:hAnsi="仿宋_GB2312" w:cs="仿宋_GB2312" w:eastAsia="仿宋_GB2312"/>
                <w:sz w:val="21"/>
              </w:rPr>
              <w:t>检测报告、</w:t>
            </w:r>
            <w:r>
              <w:rPr>
                <w:rFonts w:ascii="仿宋_GB2312" w:hAnsi="仿宋_GB2312" w:cs="仿宋_GB2312" w:eastAsia="仿宋_GB2312"/>
                <w:sz w:val="21"/>
              </w:rPr>
              <w:t>官网截图等），不满足或未提供佐证材料视为负偏离，按无效文件处理。）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口付款条件说明：合同生效后，采购人给进出口业务代理公司付全额货款，由进出口业务代理公司向中标人开出100%不可撤销即期信用证。待货物到货、安装调试、并经采购人组织验收合格后，凭采购人出具的验收报告通过银行解付全部涉外货款。国产付款条件说明：合同签订后，达到付款条件起10日内，支付合同金额的80%，付款条件说明:货到安装调试完成后，达到付款条件起10日内，支付合同金额的10%，付款条件说明:待验收合格后，凭成交供应商开具全额增值税专用发票，达到付款条件起10日内，支付合同金额的 10.00%。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产品外观无损伤、功能达标。 （1）验收：到货后，乙方应向甲方移交所供货物（设备）完整的使用说明书、合格证及相关资料。乙方将工作完成后，由甲方组织进行验收，自正式验收合格并交付给甲方之日起计算质保期。如果乙方提供的货物与合同不符，甲方有权拒绝接收，由此产生的一切费用由乙方承担。验收程序如下： （2）到货验收。到货后，检查仪器设备内外包装是否完好，有无破损、碰伤、浸湿、受潮、变形等情况。确认所验收货物件数与运输单据填写的件数一致。如发现上述问题，应做详细记录，并拍照留据。 1）开箱（实物及数量参数）验收。到货后开箱检查仪器设备及附件外表有无残损、锈蚀、碰伤等，检查随机资料是否齐全，如仪器说明书、操作规程、检修手册、产品检验合格证书等。以装箱单为依据，逐件核对检查主机、附件的规格、型号、配置及数量。以供货合同为依据与装箱单进行核对，做好货物开箱（设备）验收清单记录。 2）质量验收。按照合同条款、货物（设备）使用说明书及操作手册的规定和程序进行安装、调试后进行质量验收，必要时可委托有资质的第三方(或政府主管部门)进行验收，所需费用由乙方承担。验收时对照货物（设备）使用说明书，进行各种技术参数测试，检查仪器的技术指标和性能是否达到要求，做好质量验收记录，验收结束出具验收报告。若仪器出现质量问题，应将详细情况书面通知供应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质保期：验收合格后1年，质保期内免费维修，终身维护。</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1.人员培训：人员培训：乙方免费对甲方人员进行必要的业务及服务培训，培训设≥2天，≥5人次参与，使其达到正确掌握设备使用要求。 2.售后服务要求：售后服务响应时间（质保期内）：即时响应（包括电话响应）7*24小时；电话响应无法解决4小时内到达现场。修复时间 8小时内解决；如在24小时内无法修复，则提供相同部件冗余服务或采取应急措施，提供相同产品或不低于故障产品规格档次的备用产品供采购人使用，以确保货物的正常使用。 3.调试：乙方负责对货物（设备）免费进行安装调试，并使其投入正常运行。 4.免费赠送一次设备移机服务。 5.付款条件说明： 进口付款方式：合同生效后，采购人给进出口业务代理公司付全额货款，由进出口业务代理公司向中标人开出100%不可撤销即期信用证。待货物到货、安装调试、并经采购人组织验收合格后，凭采购人出具的验收报告通过银行解付全部涉外货款。 国产付款方式：付款条件说明：合同签订后，达到付款条件起10日内，支付合同金额的80%，付款条件说明:货到安装调试完成后，达到付款条件起10日内，支付合同金额的10%，付款条件说明:待验收合格后，凭成交供应商开具全额增值税专用发票，达到付款条件起10日内，支付合同金额的 10.00%。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02供应商资格证明资料进口.docx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依据《中华人民共和国政府采购法》和《中华人民共和国政府法采购法实施条例》的有关规定，落实政府采购“优先购买节能环保产品、扶持小微企业、残疾人就业、监狱企业、福利企业” 等相关政策。 1、《政府采购促进中小企业发展管理办法》（财库〔2020〕46号）； 2、《关于进一步加大政府采购支持中小企业力度的通知》财库〔2022〕19号； 3、《关于政府采购支持监狱企业发展有关问题的通知》（财库〔2014〕68号）； 4、《关于建立政府强制采购节能产品制度的通知》（国办发〔2007〕51号）；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02供应商资格证明资料进口.docx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须提供2025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02供应商资格证明资料进口.docx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须提供2025年01月至今已缴纳的至少一个月纳税证明或完税证明，依法免税的单位应提供相关证明材料（以税款所属期为准）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02供应商资格证明资料进口.docx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提供经会计师事务所审计的2023年或2024年任意一年的财务审计报告（带二维码可查验）或在开标日期前六个月内其基本开户银行出具的资信证明。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02供应商资格证明资料进口.docx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02供应商资格证明资料进口.docx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非法定代表人参加谈判的，须提供法定代表人授权委托书及被授权人身份证；法定代表人参加谈判时,须提供法定代表人身份证明书。</w:t>
            </w:r>
          </w:p>
        </w:tc>
        <w:tc>
          <w:tcPr>
            <w:tcW w:type="dxa" w:w="1661"/>
          </w:tcPr>
          <w:p>
            <w:pPr>
              <w:pStyle w:val="null3"/>
            </w:pPr>
            <w:r>
              <w:rPr>
                <w:rFonts w:ascii="仿宋_GB2312" w:hAnsi="仿宋_GB2312" w:cs="仿宋_GB2312" w:eastAsia="仿宋_GB2312"/>
              </w:rPr>
              <w:t>02供应商资格证明资料进口.docx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进口产品提供所投产品厂家授权书或总代理商授权书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02供应商资格证明资料进口.docx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02供应商资格证明资料进口.docx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投标报价未超过预算或最高限价。</w:t>
            </w:r>
          </w:p>
        </w:tc>
        <w:tc>
          <w:tcPr>
            <w:tcW w:type="dxa" w:w="1661"/>
          </w:tcPr>
          <w:p>
            <w:pPr>
              <w:pStyle w:val="null3"/>
            </w:pPr>
            <w:r>
              <w:rPr>
                <w:rFonts w:ascii="仿宋_GB2312" w:hAnsi="仿宋_GB2312" w:cs="仿宋_GB2312" w:eastAsia="仿宋_GB2312"/>
              </w:rPr>
              <w:t>01分项报价表.docx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03商务和技术响应偏离表.docx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03商务和技术响应偏离表.docx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响应文件封面 01分项报价表.docx 中小企业声明函 标的清单 报价表 06供应商承诺书.docx 02供应商资格证明资料进口.docx 03商务和技术响应偏离表.docx 07供应商业绩一览表.docx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按照采购文件要求缴纳保证金或担保机构出具的保函</w:t>
            </w:r>
          </w:p>
        </w:tc>
        <w:tc>
          <w:tcPr>
            <w:tcW w:type="dxa" w:w="1661"/>
          </w:tcPr>
          <w:p>
            <w:pPr>
              <w:pStyle w:val="null3"/>
            </w:pPr>
            <w:r>
              <w:rPr>
                <w:rFonts w:ascii="仿宋_GB2312" w:hAnsi="仿宋_GB2312" w:cs="仿宋_GB2312" w:eastAsia="仿宋_GB2312"/>
              </w:rPr>
              <w:t>08投标保证金缴纳凭证.docx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其他商务要求及技术指标</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04技术支持资料及实施方案.docx 05供应商认为有必要说明的其他问题.docx 03商务和技术响应偏离表.docx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符合法律法规和采购文件规定的其他实质性要求</w:t>
            </w:r>
          </w:p>
        </w:tc>
        <w:tc>
          <w:tcPr>
            <w:tcW w:type="dxa" w:w="1661"/>
          </w:tcPr>
          <w:p>
            <w:pPr>
              <w:pStyle w:val="null3"/>
            </w:pPr>
            <w:r>
              <w:rPr>
                <w:rFonts w:ascii="仿宋_GB2312" w:hAnsi="仿宋_GB2312" w:cs="仿宋_GB2312" w:eastAsia="仿宋_GB2312"/>
              </w:rPr>
              <w:t>响应文件封面 05供应商认为有必要说明的其他问题.docx 06供应商承诺书.docx 03商务和技术响应偏离表.docx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详见附件：01分项报价表.docx</w:t>
      </w:r>
    </w:p>
    <w:p>
      <w:pPr>
        <w:pStyle w:val="null3"/>
        <w:ind w:firstLine="960"/>
      </w:pPr>
      <w:r>
        <w:rPr>
          <w:rFonts w:ascii="仿宋_GB2312" w:hAnsi="仿宋_GB2312" w:cs="仿宋_GB2312" w:eastAsia="仿宋_GB2312"/>
        </w:rPr>
        <w:t>详见附件：02供应商资格证明资料进口.docx</w:t>
      </w:r>
    </w:p>
    <w:p>
      <w:pPr>
        <w:pStyle w:val="null3"/>
        <w:ind w:firstLine="960"/>
      </w:pPr>
      <w:r>
        <w:rPr>
          <w:rFonts w:ascii="仿宋_GB2312" w:hAnsi="仿宋_GB2312" w:cs="仿宋_GB2312" w:eastAsia="仿宋_GB2312"/>
        </w:rPr>
        <w:t>详见附件：03商务和技术响应偏离表.docx</w:t>
      </w:r>
    </w:p>
    <w:p>
      <w:pPr>
        <w:pStyle w:val="null3"/>
        <w:ind w:firstLine="960"/>
      </w:pPr>
      <w:r>
        <w:rPr>
          <w:rFonts w:ascii="仿宋_GB2312" w:hAnsi="仿宋_GB2312" w:cs="仿宋_GB2312" w:eastAsia="仿宋_GB2312"/>
        </w:rPr>
        <w:t>详见附件：04技术支持资料及实施方案.docx</w:t>
      </w:r>
    </w:p>
    <w:p>
      <w:pPr>
        <w:pStyle w:val="null3"/>
        <w:ind w:firstLine="960"/>
      </w:pPr>
      <w:r>
        <w:rPr>
          <w:rFonts w:ascii="仿宋_GB2312" w:hAnsi="仿宋_GB2312" w:cs="仿宋_GB2312" w:eastAsia="仿宋_GB2312"/>
        </w:rPr>
        <w:t>详见附件：05供应商认为有必要说明的其他问题.docx</w:t>
      </w:r>
    </w:p>
    <w:p>
      <w:pPr>
        <w:pStyle w:val="null3"/>
        <w:ind w:firstLine="960"/>
      </w:pPr>
      <w:r>
        <w:rPr>
          <w:rFonts w:ascii="仿宋_GB2312" w:hAnsi="仿宋_GB2312" w:cs="仿宋_GB2312" w:eastAsia="仿宋_GB2312"/>
        </w:rPr>
        <w:t>详见附件：06供应商承诺书.docx</w:t>
      </w:r>
    </w:p>
    <w:p>
      <w:pPr>
        <w:pStyle w:val="null3"/>
        <w:ind w:firstLine="960"/>
      </w:pPr>
      <w:r>
        <w:rPr>
          <w:rFonts w:ascii="仿宋_GB2312" w:hAnsi="仿宋_GB2312" w:cs="仿宋_GB2312" w:eastAsia="仿宋_GB2312"/>
        </w:rPr>
        <w:t>详见附件：07供应商业绩一览表.docx</w:t>
      </w:r>
    </w:p>
    <w:p>
      <w:pPr>
        <w:pStyle w:val="null3"/>
        <w:ind w:firstLine="960"/>
      </w:pPr>
      <w:r>
        <w:rPr>
          <w:rFonts w:ascii="仿宋_GB2312" w:hAnsi="仿宋_GB2312" w:cs="仿宋_GB2312" w:eastAsia="仿宋_GB2312"/>
        </w:rPr>
        <w:t>详见附件：08投标保证金缴纳凭证.docx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