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6E466">
      <w:pPr>
        <w:wordWrap w:val="0"/>
        <w:topLinePunct/>
        <w:spacing w:line="500" w:lineRule="exact"/>
        <w:jc w:val="center"/>
        <w:outlineLvl w:val="0"/>
        <w:rPr>
          <w:rFonts w:ascii="宋体" w:hAnsi="宋体" w:cs="宋体"/>
          <w:b/>
          <w:bCs/>
          <w:u w:val="single"/>
        </w:rPr>
      </w:pPr>
      <w:r>
        <w:rPr>
          <w:rStyle w:val="8"/>
          <w:rFonts w:hint="eastAsia" w:ascii="黑体" w:hAnsi="黑体" w:eastAsia="黑体" w:cs="黑体"/>
          <w:sz w:val="32"/>
          <w:szCs w:val="32"/>
        </w:rPr>
        <w:t>拟签订合同文本</w:t>
      </w:r>
    </w:p>
    <w:p w14:paraId="089115C1">
      <w:pPr>
        <w:spacing w:line="360" w:lineRule="auto"/>
        <w:jc w:val="center"/>
        <w:rPr>
          <w:rFonts w:hint="eastAsia" w:ascii="黑体" w:hAnsi="仿宋" w:eastAsia="黑体" w:cs="黑体"/>
          <w:b/>
          <w:bCs/>
          <w:sz w:val="32"/>
          <w:szCs w:val="32"/>
          <w:lang w:val="en-US" w:eastAsia="zh-CN"/>
        </w:rPr>
      </w:pPr>
      <w:bookmarkStart w:id="0" w:name="_Toc25256"/>
      <w:bookmarkStart w:id="1" w:name="_Toc483349426"/>
      <w:bookmarkStart w:id="2" w:name="_Toc24645"/>
      <w:bookmarkStart w:id="3" w:name="_Toc17018"/>
      <w:bookmarkStart w:id="4" w:name="_Toc484353362"/>
      <w:bookmarkStart w:id="5" w:name="_Toc23240"/>
      <w:bookmarkStart w:id="6" w:name="_Toc24759"/>
      <w:bookmarkStart w:id="7" w:name="_Toc19396"/>
      <w:r>
        <w:rPr>
          <w:rFonts w:hint="eastAsia" w:ascii="黑体" w:hAnsi="仿宋" w:eastAsia="黑体" w:cs="黑体"/>
          <w:b/>
          <w:bCs/>
          <w:sz w:val="32"/>
          <w:szCs w:val="32"/>
        </w:rPr>
        <w:t>一、</w:t>
      </w:r>
      <w:bookmarkEnd w:id="0"/>
      <w:bookmarkEnd w:id="1"/>
      <w:bookmarkEnd w:id="2"/>
      <w:bookmarkEnd w:id="3"/>
      <w:bookmarkEnd w:id="4"/>
      <w:bookmarkEnd w:id="5"/>
      <w:bookmarkEnd w:id="6"/>
      <w:bookmarkEnd w:id="7"/>
      <w:r>
        <w:rPr>
          <w:rFonts w:hint="eastAsia" w:ascii="黑体" w:hAnsi="仿宋" w:eastAsia="黑体" w:cs="黑体"/>
          <w:b/>
          <w:bCs/>
          <w:sz w:val="32"/>
          <w:szCs w:val="32"/>
          <w:lang w:val="en-US" w:eastAsia="zh-CN"/>
        </w:rPr>
        <w:t>政府采购合同格式</w:t>
      </w:r>
    </w:p>
    <w:p w14:paraId="16A51C09">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 xml:space="preserve">合同编号： </w:t>
      </w:r>
    </w:p>
    <w:p w14:paraId="1C4FB2A1">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 xml:space="preserve">签订地点： </w:t>
      </w:r>
    </w:p>
    <w:p w14:paraId="20999BEB">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签订时间</w:t>
      </w:r>
      <w:r>
        <w:rPr>
          <w:rFonts w:hint="eastAsia" w:ascii="宋体" w:hAnsi="宋体" w:eastAsia="宋体"/>
          <w:sz w:val="21"/>
          <w:szCs w:val="21"/>
          <w:highlight w:val="none"/>
          <w:lang w:eastAsia="zh-CN"/>
        </w:rPr>
        <w:t>：</w:t>
      </w:r>
      <w:r>
        <w:rPr>
          <w:rFonts w:hint="eastAsia" w:ascii="宋体" w:hAnsi="宋体"/>
          <w:sz w:val="21"/>
          <w:szCs w:val="21"/>
          <w:highlight w:val="none"/>
        </w:rPr>
        <w:t xml:space="preserve"> </w:t>
      </w:r>
    </w:p>
    <w:p w14:paraId="0FE88FC3">
      <w:pPr>
        <w:pStyle w:val="9"/>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sz w:val="21"/>
          <w:szCs w:val="21"/>
          <w:highlight w:val="none"/>
          <w:lang w:val="en-US" w:eastAsia="zh-CN"/>
        </w:rPr>
      </w:pPr>
      <w:r>
        <w:rPr>
          <w:rFonts w:hint="eastAsia" w:ascii="宋体" w:hAnsi="宋体"/>
          <w:sz w:val="21"/>
          <w:szCs w:val="21"/>
          <w:highlight w:val="none"/>
        </w:rPr>
        <w:t>是否为专门面向中小企业的采购项目：</w:t>
      </w:r>
      <w:r>
        <w:rPr>
          <w:rFonts w:hint="eastAsia" w:ascii="宋体" w:hAnsi="宋体" w:eastAsia="宋体"/>
          <w:sz w:val="21"/>
          <w:szCs w:val="21"/>
          <w:highlight w:val="none"/>
          <w:lang w:val="en-US" w:eastAsia="zh-CN"/>
        </w:rPr>
        <w:t>是</w:t>
      </w:r>
    </w:p>
    <w:p w14:paraId="52FF6F7C">
      <w:pPr>
        <w:pStyle w:val="9"/>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sz w:val="21"/>
          <w:szCs w:val="21"/>
          <w:highlight w:val="none"/>
        </w:rPr>
      </w:pPr>
      <w:r>
        <w:rPr>
          <w:rFonts w:hint="eastAsia" w:ascii="宋体" w:hAnsi="宋体"/>
          <w:sz w:val="21"/>
          <w:szCs w:val="21"/>
          <w:highlight w:val="none"/>
        </w:rPr>
        <w:t>采购人（甲方）：</w:t>
      </w:r>
    </w:p>
    <w:p w14:paraId="22AF8413">
      <w:pPr>
        <w:pStyle w:val="9"/>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sz w:val="21"/>
          <w:szCs w:val="21"/>
          <w:highlight w:val="none"/>
        </w:rPr>
      </w:pPr>
      <w:r>
        <w:rPr>
          <w:rFonts w:hint="eastAsia"/>
          <w:sz w:val="21"/>
          <w:szCs w:val="21"/>
          <w:highlight w:val="none"/>
        </w:rPr>
        <w:t>供应商（乙方）：</w:t>
      </w:r>
    </w:p>
    <w:p w14:paraId="5AD9BF54">
      <w:pPr>
        <w:pStyle w:val="9"/>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sz w:val="21"/>
          <w:szCs w:val="21"/>
          <w:highlight w:val="none"/>
        </w:rPr>
      </w:pPr>
      <w:r>
        <w:rPr>
          <w:rFonts w:hint="eastAsia"/>
          <w:sz w:val="21"/>
          <w:szCs w:val="21"/>
          <w:highlight w:val="none"/>
        </w:rPr>
        <w:t>根据《中华人民共</w:t>
      </w:r>
      <w:r>
        <w:rPr>
          <w:rFonts w:hint="eastAsia" w:ascii="宋体" w:hAnsi="宋体" w:eastAsia="宋体" w:cs="宋体"/>
          <w:sz w:val="21"/>
          <w:szCs w:val="21"/>
          <w:highlight w:val="none"/>
        </w:rPr>
        <w:t>和国政府采购法》及实施条例、《中华人民共和国民法典》和</w:t>
      </w:r>
      <w:r>
        <w:rPr>
          <w:rFonts w:hint="eastAsia" w:ascii="宋体" w:hAnsi="宋体" w:eastAsia="宋体" w:cs="宋体"/>
          <w:sz w:val="21"/>
          <w:szCs w:val="21"/>
          <w:highlight w:val="none"/>
          <w:lang w:eastAsia="zh-CN"/>
        </w:rPr>
        <w:t>陕西省司法厅2025年宪法宣传周活动项目</w:t>
      </w:r>
      <w:r>
        <w:rPr>
          <w:rFonts w:hint="eastAsia" w:ascii="宋体" w:hAnsi="宋体" w:eastAsia="宋体" w:cs="宋体"/>
          <w:sz w:val="21"/>
          <w:szCs w:val="21"/>
          <w:highlight w:val="none"/>
        </w:rPr>
        <w:t>（采购项目编号</w:t>
      </w:r>
      <w:r>
        <w:rPr>
          <w:rFonts w:hint="eastAsia" w:ascii="宋体" w:hAnsi="宋体" w:eastAsia="宋体" w:cs="宋体"/>
          <w:sz w:val="21"/>
          <w:szCs w:val="21"/>
          <w:highlight w:val="none"/>
          <w:lang w:eastAsia="zh-CN"/>
        </w:rPr>
        <w:t>：DQB-2025091-CS</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DOCVARIABLE  采购编号  \* MERGEFORMAT </w:instrText>
      </w:r>
      <w:r>
        <w:rPr>
          <w:rFonts w:hint="eastAsia" w:ascii="宋体" w:hAnsi="宋体" w:eastAsia="宋体" w:cs="宋体"/>
          <w:sz w:val="21"/>
          <w:szCs w:val="21"/>
          <w:highlight w:val="none"/>
        </w:rPr>
        <w:fldChar w:fldCharType="end"/>
      </w:r>
      <w:r>
        <w:rPr>
          <w:rFonts w:hint="eastAsia" w:ascii="宋体" w:hAnsi="宋体" w:cs="宋体"/>
          <w:color w:val="000000"/>
          <w:sz w:val="21"/>
          <w:szCs w:val="21"/>
          <w:highlight w:val="none"/>
          <w:lang w:eastAsia="zh-CN"/>
        </w:rPr>
        <w:t>）</w:t>
      </w:r>
      <w:r>
        <w:rPr>
          <w:rFonts w:hint="eastAsia" w:ascii="宋体" w:hAnsi="宋体" w:eastAsia="宋体" w:cs="宋体"/>
          <w:sz w:val="21"/>
          <w:szCs w:val="21"/>
          <w:highlight w:val="none"/>
        </w:rPr>
        <w:t>的采购文件、响应文件等有关规定，为确保甲方采购项目的顺利实施，甲、乙双方在平</w:t>
      </w:r>
      <w:r>
        <w:rPr>
          <w:rFonts w:hint="eastAsia"/>
          <w:sz w:val="21"/>
          <w:szCs w:val="21"/>
          <w:highlight w:val="none"/>
        </w:rPr>
        <w:t>等自愿原则下签订本合同，并共同遵守如下条款，其主要要求如下：</w:t>
      </w:r>
    </w:p>
    <w:p w14:paraId="53211AC4">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b/>
          <w:sz w:val="21"/>
          <w:szCs w:val="21"/>
          <w:highlight w:val="none"/>
        </w:rPr>
      </w:pPr>
      <w:bookmarkStart w:id="8" w:name="_Toc11438"/>
      <w:r>
        <w:rPr>
          <w:rFonts w:hint="eastAsia" w:ascii="宋体"/>
          <w:b/>
          <w:sz w:val="21"/>
          <w:szCs w:val="21"/>
          <w:highlight w:val="none"/>
        </w:rPr>
        <w:t>第一条  项目基本情况</w:t>
      </w:r>
      <w:bookmarkEnd w:id="8"/>
    </w:p>
    <w:p w14:paraId="76987DEB">
      <w:pPr>
        <w:pStyle w:val="10"/>
        <w:widowControl w:val="0"/>
        <w:spacing w:before="90" w:after="90" w:line="360" w:lineRule="auto"/>
        <w:ind w:firstLine="420" w:firstLineChars="200"/>
        <w:jc w:val="both"/>
        <w:outlineLvl w:val="1"/>
        <w:rPr>
          <w:rFonts w:hint="eastAsia" w:ascii="宋体" w:hAnsi="宋体" w:eastAsia="宋体" w:cs="宋体"/>
          <w:b w:val="0"/>
          <w:bCs/>
          <w:color w:val="auto"/>
          <w:sz w:val="21"/>
          <w:szCs w:val="21"/>
          <w:highlight w:val="none"/>
          <w:shd w:val="clear" w:fill="FFFFFF"/>
          <w:lang w:val="en-US" w:eastAsia="zh-CN"/>
        </w:rPr>
      </w:pPr>
      <w:bookmarkStart w:id="9" w:name="_Toc24394"/>
      <w:r>
        <w:rPr>
          <w:rFonts w:hint="eastAsia" w:ascii="宋体" w:hAnsi="宋体" w:eastAsia="宋体" w:cs="宋体"/>
          <w:sz w:val="21"/>
          <w:szCs w:val="21"/>
          <w:highlight w:val="none"/>
          <w:lang w:val="en-US" w:eastAsia="zh-CN"/>
        </w:rPr>
        <w:t>本项目为</w:t>
      </w:r>
      <w:r>
        <w:rPr>
          <w:rFonts w:hint="eastAsia" w:ascii="宋体" w:hAnsi="宋体" w:eastAsia="宋体" w:cs="宋体"/>
          <w:sz w:val="21"/>
          <w:szCs w:val="21"/>
          <w:highlight w:val="none"/>
          <w:lang w:eastAsia="zh-CN"/>
        </w:rPr>
        <w:t>陕西省司法厅2025年宪法宣传周活动项目，</w:t>
      </w:r>
      <w:r>
        <w:rPr>
          <w:rFonts w:hint="eastAsia" w:ascii="宋体" w:hAnsi="宋体" w:cs="宋体"/>
          <w:sz w:val="21"/>
          <w:szCs w:val="21"/>
          <w:highlight w:val="none"/>
          <w:lang w:val="en-US" w:eastAsia="zh-CN"/>
        </w:rPr>
        <w:t>主要内容为</w:t>
      </w:r>
      <w:r>
        <w:rPr>
          <w:rFonts w:hint="eastAsia" w:ascii="宋体" w:hAnsi="宋体" w:eastAsia="宋体" w:cs="宋体"/>
          <w:sz w:val="21"/>
          <w:szCs w:val="21"/>
          <w:highlight w:val="none"/>
          <w:lang w:eastAsia="zh-CN"/>
        </w:rPr>
        <w:t>陕西省2025年“宪法宣传周”启动仪式暨优秀法治文化作品展示活动执行服务</w:t>
      </w:r>
      <w:r>
        <w:rPr>
          <w:rFonts w:hint="eastAsia" w:ascii="宋体" w:hAnsi="宋体" w:cs="宋体"/>
          <w:sz w:val="21"/>
          <w:szCs w:val="21"/>
          <w:highlight w:val="none"/>
          <w:lang w:eastAsia="zh-CN"/>
        </w:rPr>
        <w:t>，</w:t>
      </w:r>
      <w:r>
        <w:rPr>
          <w:rFonts w:hint="eastAsia" w:ascii="宋体" w:hAnsi="宋体" w:eastAsia="宋体" w:cs="宋体"/>
          <w:b w:val="0"/>
          <w:bCs/>
          <w:color w:val="auto"/>
          <w:sz w:val="21"/>
          <w:szCs w:val="21"/>
          <w:highlight w:val="none"/>
          <w:shd w:val="clear" w:fill="FFFFFF"/>
          <w:lang w:val="en-US" w:eastAsia="zh-CN"/>
        </w:rPr>
        <w:t>包括会场内外的布置、活动的创意策划和录制执行服务。</w:t>
      </w:r>
    </w:p>
    <w:p w14:paraId="20720F7E">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b/>
          <w:sz w:val="21"/>
          <w:szCs w:val="21"/>
          <w:highlight w:val="none"/>
        </w:rPr>
      </w:pPr>
      <w:r>
        <w:rPr>
          <w:rFonts w:hint="eastAsia" w:ascii="宋体"/>
          <w:b/>
          <w:sz w:val="21"/>
          <w:szCs w:val="21"/>
          <w:highlight w:val="none"/>
        </w:rPr>
        <w:t>第二条  服务期限</w:t>
      </w:r>
      <w:bookmarkEnd w:id="9"/>
    </w:p>
    <w:p w14:paraId="22B54828">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eastAsia="宋体"/>
          <w:b w:val="0"/>
          <w:bCs/>
          <w:color w:val="auto"/>
          <w:sz w:val="21"/>
          <w:szCs w:val="21"/>
          <w:highlight w:val="none"/>
          <w:lang w:eastAsia="zh-CN"/>
        </w:rPr>
      </w:pPr>
      <w:bookmarkStart w:id="10" w:name="_Toc2407"/>
      <w:r>
        <w:rPr>
          <w:rFonts w:hint="eastAsia" w:ascii="宋体" w:eastAsia="宋体"/>
          <w:b w:val="0"/>
          <w:bCs/>
          <w:color w:val="auto"/>
          <w:sz w:val="21"/>
          <w:szCs w:val="21"/>
          <w:highlight w:val="none"/>
          <w:lang w:eastAsia="zh-CN"/>
        </w:rPr>
        <w:t>自合同签订之日起1个月内</w:t>
      </w:r>
      <w:r>
        <w:rPr>
          <w:rFonts w:hint="eastAsia" w:ascii="宋体"/>
          <w:b w:val="0"/>
          <w:bCs/>
          <w:color w:val="auto"/>
          <w:sz w:val="21"/>
          <w:szCs w:val="21"/>
          <w:highlight w:val="none"/>
          <w:lang w:eastAsia="zh-CN"/>
        </w:rPr>
        <w:t>。</w:t>
      </w:r>
    </w:p>
    <w:p w14:paraId="2FF03CD2">
      <w:pPr>
        <w:keepNext w:val="0"/>
        <w:keepLines w:val="0"/>
        <w:pageBreakBefore w:val="0"/>
        <w:widowControl/>
        <w:numPr>
          <w:ilvl w:val="0"/>
          <w:numId w:val="1"/>
        </w:numPr>
        <w:tabs>
          <w:tab w:val="left" w:pos="387"/>
        </w:tabs>
        <w:wordWrap/>
        <w:overflowPunct/>
        <w:topLinePunct w:val="0"/>
        <w:bidi w:val="0"/>
        <w:adjustRightInd w:val="0"/>
        <w:snapToGrid w:val="0"/>
        <w:spacing w:line="360" w:lineRule="auto"/>
        <w:ind w:firstLine="422" w:firstLineChars="200"/>
        <w:jc w:val="left"/>
        <w:textAlignment w:val="baseline"/>
        <w:outlineLvl w:val="1"/>
        <w:rPr>
          <w:rFonts w:hint="eastAsia" w:ascii="宋体"/>
          <w:b/>
          <w:sz w:val="21"/>
          <w:szCs w:val="21"/>
          <w:highlight w:val="none"/>
        </w:rPr>
      </w:pPr>
      <w:r>
        <w:rPr>
          <w:rFonts w:hint="eastAsia" w:ascii="宋体"/>
          <w:b/>
          <w:sz w:val="21"/>
          <w:szCs w:val="21"/>
          <w:highlight w:val="none"/>
        </w:rPr>
        <w:t xml:space="preserve"> 服务内容与质量标准</w:t>
      </w:r>
      <w:bookmarkEnd w:id="10"/>
    </w:p>
    <w:p w14:paraId="3C5079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snapToGrid/>
          <w:color w:val="auto"/>
          <w:kern w:val="0"/>
          <w:sz w:val="21"/>
          <w:szCs w:val="21"/>
          <w:highlight w:val="none"/>
          <w:shd w:val="clear" w:fill="FFFFFF"/>
          <w:lang w:val="en-US" w:eastAsia="zh-CN"/>
        </w:rPr>
      </w:pPr>
      <w:r>
        <w:rPr>
          <w:rFonts w:hint="eastAsia" w:ascii="宋体" w:hAnsi="宋体" w:eastAsia="宋体" w:cs="宋体"/>
          <w:b/>
          <w:bCs w:val="0"/>
          <w:snapToGrid/>
          <w:color w:val="auto"/>
          <w:kern w:val="0"/>
          <w:sz w:val="21"/>
          <w:szCs w:val="21"/>
          <w:highlight w:val="none"/>
          <w:shd w:val="clear" w:fill="FFFFFF"/>
          <w:lang w:val="en-US" w:eastAsia="zh-CN"/>
        </w:rPr>
        <w:t>（一）活动的创意策划及录制执行服务需求</w:t>
      </w:r>
    </w:p>
    <w:p w14:paraId="3C9E5E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1.活动的整体创意策划及执行：需要具有承办党政活动及国际活动执行、节目策划执行等经验的专业团队。具体服务包括活动的导演核心创意，编导编排节目服务，摄影摄像服务，以及活动具体的执行服务。</w:t>
      </w:r>
    </w:p>
    <w:p w14:paraId="31DE66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2.活动录制：拥有独立自主且可控的高清转播车资源及专业录制团队，提供专业的录制服务（配备广播级高清摄像机、摇臂摄像等）和具有大型活动录制、直播经验的相关专业技术人员，以及后期剪辑包装服务等。</w:t>
      </w:r>
    </w:p>
    <w:p w14:paraId="013388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3.活动的配套宣传服务：需要提供具备丰富经验的官方媒体宣发资源及方案，并能提供专业的突发事件应急处置策略。</w:t>
      </w:r>
    </w:p>
    <w:p w14:paraId="27DA97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4.其他保障服务：需提供活动区域的安全保障、消防安全、卫生保洁、应急处置等基本场地管理和活动相关执行人员配备服务。</w:t>
      </w:r>
    </w:p>
    <w:p w14:paraId="374620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snapToGrid/>
          <w:color w:val="auto"/>
          <w:kern w:val="0"/>
          <w:sz w:val="21"/>
          <w:szCs w:val="21"/>
          <w:highlight w:val="none"/>
          <w:shd w:val="clear" w:fill="FFFFFF"/>
          <w:lang w:val="en-US" w:eastAsia="zh-CN"/>
        </w:rPr>
      </w:pPr>
      <w:r>
        <w:rPr>
          <w:rFonts w:hint="eastAsia" w:ascii="宋体" w:hAnsi="宋体" w:eastAsia="宋体" w:cs="宋体"/>
          <w:b/>
          <w:bCs w:val="0"/>
          <w:snapToGrid/>
          <w:color w:val="auto"/>
          <w:kern w:val="0"/>
          <w:sz w:val="21"/>
          <w:szCs w:val="21"/>
          <w:highlight w:val="none"/>
          <w:shd w:val="clear" w:fill="FFFFFF"/>
          <w:lang w:val="en-US" w:eastAsia="zh-CN"/>
        </w:rPr>
        <w:t>（二）会场内外管理服务需求</w:t>
      </w:r>
    </w:p>
    <w:p w14:paraId="7E05CF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1.提供活动场地的筛选与租赁服务：包含活动区域的秩序维护、消防安全管理以及活动执行人员配套服务。外场场地需承载法治文化展览展示的适配空间，内场展演启动会场内需不少于900平米，功能区完备。</w:t>
      </w:r>
    </w:p>
    <w:p w14:paraId="220E60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b w:val="0"/>
          <w:bCs/>
          <w:snapToGrid/>
          <w:color w:val="auto"/>
          <w:kern w:val="0"/>
          <w:sz w:val="21"/>
          <w:szCs w:val="21"/>
          <w:highlight w:val="none"/>
          <w:shd w:val="clear" w:fill="FFFFFF"/>
          <w:lang w:val="en-US" w:eastAsia="zh-CN"/>
        </w:rPr>
      </w:pPr>
      <w:r>
        <w:rPr>
          <w:rFonts w:hint="eastAsia" w:ascii="宋体" w:hAnsi="宋体" w:eastAsia="宋体" w:cs="宋体"/>
          <w:b w:val="0"/>
          <w:bCs/>
          <w:snapToGrid/>
          <w:color w:val="auto"/>
          <w:kern w:val="0"/>
          <w:sz w:val="21"/>
          <w:szCs w:val="21"/>
          <w:highlight w:val="none"/>
          <w:shd w:val="clear" w:fill="FFFFFF"/>
          <w:lang w:val="en-US" w:eastAsia="zh-CN"/>
        </w:rPr>
        <w:t>2.提供内场管理服务：包含会场内部舞台的设计与搭建，如舞台道具的租赁、制作、搭建、观众席基本标识布置等服务等。团队具有舞台大屏幕、灯光、音响等专业级舞美设备及人员。</w:t>
      </w:r>
    </w:p>
    <w:p w14:paraId="6A75E1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b w:val="0"/>
          <w:bCs/>
          <w:snapToGrid/>
          <w:color w:val="auto"/>
          <w:kern w:val="0"/>
          <w:sz w:val="21"/>
          <w:szCs w:val="21"/>
          <w:highlight w:val="none"/>
          <w:shd w:val="clear" w:fill="FFFFFF"/>
          <w:lang w:val="en-US" w:eastAsia="zh-CN"/>
        </w:rPr>
        <w:t>3.提供外场管理服务：包含会场外部展览展示区域的布置和互动区域的搭建，提供展演服务、布展服务、维保服务等。</w:t>
      </w:r>
    </w:p>
    <w:p w14:paraId="7C2737C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jc w:val="left"/>
        <w:textAlignment w:val="baseline"/>
        <w:outlineLvl w:val="1"/>
        <w:rPr>
          <w:rFonts w:hint="eastAsia" w:ascii="宋体" w:hAnsi="宋体"/>
          <w:b/>
          <w:sz w:val="21"/>
          <w:szCs w:val="21"/>
          <w:highlight w:val="none"/>
        </w:rPr>
      </w:pPr>
      <w:bookmarkStart w:id="11" w:name="_Toc20078"/>
      <w:r>
        <w:rPr>
          <w:rFonts w:hint="eastAsia" w:ascii="宋体"/>
          <w:b/>
          <w:sz w:val="21"/>
          <w:szCs w:val="21"/>
          <w:highlight w:val="none"/>
        </w:rPr>
        <w:t xml:space="preserve">第四条  </w:t>
      </w:r>
      <w:r>
        <w:rPr>
          <w:rFonts w:hint="eastAsia" w:ascii="宋体" w:hAnsi="宋体"/>
          <w:b/>
          <w:sz w:val="21"/>
          <w:szCs w:val="21"/>
          <w:highlight w:val="none"/>
        </w:rPr>
        <w:t>服务费用及支付方式</w:t>
      </w:r>
      <w:bookmarkEnd w:id="11"/>
    </w:p>
    <w:p w14:paraId="087AA39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bookmarkStart w:id="12" w:name="_Toc22959"/>
      <w:r>
        <w:rPr>
          <w:rFonts w:hint="eastAsia" w:ascii="宋体" w:hAnsi="宋体" w:eastAsia="宋体"/>
          <w:b w:val="0"/>
          <w:bCs/>
          <w:color w:val="auto"/>
          <w:sz w:val="21"/>
          <w:szCs w:val="21"/>
          <w:highlight w:val="none"/>
          <w:lang w:eastAsia="zh-CN"/>
        </w:rPr>
        <w:t>1.</w:t>
      </w:r>
      <w:r>
        <w:rPr>
          <w:rFonts w:hint="eastAsia" w:ascii="宋体" w:hAnsi="宋体"/>
          <w:b w:val="0"/>
          <w:bCs/>
          <w:color w:val="auto"/>
          <w:sz w:val="21"/>
          <w:szCs w:val="21"/>
          <w:highlight w:val="none"/>
        </w:rPr>
        <w:t>服务费按下列比例支付价款</w:t>
      </w:r>
    </w:p>
    <w:p w14:paraId="08A37D87">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服务总费用为人民币（大写）：</w:t>
      </w:r>
      <w:r>
        <w:rPr>
          <w:rFonts w:hint="eastAsia" w:ascii="宋体" w:hAnsi="宋体" w:eastAsia="宋体" w:cs="宋体"/>
          <w:i w:val="0"/>
          <w:iCs w:val="0"/>
          <w:caps w:val="0"/>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元，￥</w:t>
      </w:r>
      <w:r>
        <w:rPr>
          <w:rFonts w:hint="eastAsia" w:ascii="宋体" w:hAnsi="宋体" w:eastAsia="宋体" w:cs="宋体"/>
          <w:i w:val="0"/>
          <w:iCs w:val="0"/>
          <w:caps w:val="0"/>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w:t>
      </w:r>
    </w:p>
    <w:p w14:paraId="702E713F">
      <w:pPr>
        <w:pStyle w:val="10"/>
        <w:keepNext w:val="0"/>
        <w:keepLines w:val="0"/>
        <w:pageBreakBefore w:val="0"/>
        <w:widowControl w:val="0"/>
        <w:kinsoku/>
        <w:wordWrap/>
        <w:overflowPunct/>
        <w:topLinePunct w:val="0"/>
        <w:autoSpaceDE/>
        <w:autoSpaceDN/>
        <w:bidi w:val="0"/>
        <w:adjustRightInd/>
        <w:snapToGrid/>
        <w:spacing w:line="360" w:lineRule="auto"/>
        <w:ind w:firstLine="403" w:firstLineChars="0"/>
        <w:jc w:val="both"/>
        <w:textAlignment w:val="auto"/>
        <w:rPr>
          <w:rFonts w:hint="eastAsia" w:ascii="宋体" w:hAnsi="宋体" w:eastAsiaTheme="minorEastAsia"/>
          <w:b w:val="0"/>
          <w:bCs/>
          <w:color w:val="auto"/>
          <w:sz w:val="21"/>
          <w:szCs w:val="21"/>
          <w:highlight w:val="none"/>
          <w:lang w:eastAsia="zh-CN"/>
        </w:rPr>
      </w:pPr>
      <w:r>
        <w:rPr>
          <w:rFonts w:hint="eastAsia" w:ascii="宋体" w:hAnsi="宋体"/>
          <w:b w:val="0"/>
          <w:bCs/>
          <w:color w:val="auto"/>
          <w:sz w:val="21"/>
          <w:szCs w:val="21"/>
          <w:highlight w:val="none"/>
          <w:lang w:eastAsia="zh-CN"/>
        </w:rPr>
        <w:t>2.</w:t>
      </w:r>
      <w:r>
        <w:rPr>
          <w:rFonts w:hint="eastAsia" w:ascii="宋体" w:hAnsi="宋体"/>
          <w:b w:val="0"/>
          <w:bCs/>
          <w:color w:val="auto"/>
          <w:sz w:val="21"/>
          <w:szCs w:val="21"/>
          <w:highlight w:val="none"/>
        </w:rPr>
        <w:t>支付方式：</w:t>
      </w:r>
      <w:r>
        <w:rPr>
          <w:rFonts w:hint="eastAsia" w:ascii="宋体" w:hAnsi="宋体" w:eastAsia="宋体" w:cs="宋体"/>
          <w:snapToGrid w:val="0"/>
          <w:color w:val="000000" w:themeColor="text1"/>
          <w:spacing w:val="-1"/>
          <w:kern w:val="0"/>
          <w:sz w:val="21"/>
          <w:szCs w:val="21"/>
          <w:highlight w:val="none"/>
          <w:lang w:val="en-US" w:eastAsia="zh-CN" w:bidi="ar-SA"/>
          <w14:textFill>
            <w14:solidFill>
              <w14:schemeClr w14:val="tx1"/>
            </w14:solidFill>
          </w14:textFill>
        </w:rPr>
        <w:t>合同签订完成后，达到付款条件起30日内，支付合同总金额的70%，约定服务内容完成后，达到付款条件起30日内，支付合同总金额的30%</w:t>
      </w:r>
      <w:r>
        <w:rPr>
          <w:rFonts w:hint="eastAsia" w:ascii="宋体" w:hAnsi="宋体" w:cs="宋体"/>
          <w:snapToGrid w:val="0"/>
          <w:color w:val="000000" w:themeColor="text1"/>
          <w:spacing w:val="-1"/>
          <w:kern w:val="0"/>
          <w:sz w:val="21"/>
          <w:szCs w:val="21"/>
          <w:highlight w:val="none"/>
          <w:lang w:val="en-US" w:eastAsia="zh-CN" w:bidi="ar-SA"/>
          <w14:textFill>
            <w14:solidFill>
              <w14:schemeClr w14:val="tx1"/>
            </w14:solidFill>
          </w14:textFill>
        </w:rPr>
        <w:t>；</w:t>
      </w:r>
      <w:r>
        <w:rPr>
          <w:rFonts w:hint="eastAsia" w:ascii="宋体" w:hAnsi="宋体"/>
          <w:b w:val="0"/>
          <w:bCs/>
          <w:color w:val="000000" w:themeColor="text1"/>
          <w:sz w:val="21"/>
          <w:szCs w:val="21"/>
          <w:highlight w:val="none"/>
          <w14:textFill>
            <w14:solidFill>
              <w14:schemeClr w14:val="tx1"/>
            </w14:solidFill>
          </w14:textFill>
        </w:rPr>
        <w:t>乙</w:t>
      </w:r>
      <w:r>
        <w:rPr>
          <w:rFonts w:hint="eastAsia" w:ascii="宋体" w:hAnsi="宋体"/>
          <w:b w:val="0"/>
          <w:bCs/>
          <w:color w:val="auto"/>
          <w:sz w:val="21"/>
          <w:szCs w:val="21"/>
          <w:highlight w:val="none"/>
        </w:rPr>
        <w:t>方须向甲方出具合法有效的完税发票，甲方进行支付结算</w:t>
      </w:r>
      <w:r>
        <w:rPr>
          <w:rFonts w:hint="eastAsia" w:ascii="宋体" w:hAnsi="宋体"/>
          <w:b w:val="0"/>
          <w:bCs/>
          <w:color w:val="auto"/>
          <w:sz w:val="21"/>
          <w:szCs w:val="21"/>
          <w:highlight w:val="none"/>
          <w:lang w:eastAsia="zh-CN"/>
        </w:rPr>
        <w:t>。</w:t>
      </w:r>
    </w:p>
    <w:p w14:paraId="185F8B7A">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eastAsia="zh-CN"/>
        </w:rPr>
        <w:t>3.</w:t>
      </w:r>
      <w:r>
        <w:rPr>
          <w:rFonts w:hint="eastAsia" w:ascii="宋体" w:hAnsi="宋体"/>
          <w:b w:val="0"/>
          <w:bCs/>
          <w:color w:val="auto"/>
          <w:sz w:val="21"/>
          <w:szCs w:val="21"/>
          <w:highlight w:val="none"/>
        </w:rPr>
        <w:t>结算方式：银行转账</w:t>
      </w:r>
    </w:p>
    <w:p w14:paraId="3787418F">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eastAsia="zh-CN"/>
        </w:rPr>
        <w:t>4.</w:t>
      </w:r>
      <w:r>
        <w:rPr>
          <w:rFonts w:hint="eastAsia" w:ascii="宋体" w:hAnsi="宋体"/>
          <w:b w:val="0"/>
          <w:bCs/>
          <w:color w:val="auto"/>
          <w:sz w:val="21"/>
          <w:szCs w:val="21"/>
          <w:highlight w:val="none"/>
        </w:rPr>
        <w:t>乙方收款账户</w:t>
      </w:r>
    </w:p>
    <w:p w14:paraId="6442B4E8">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u w:val="none"/>
        </w:rPr>
      </w:pPr>
      <w:r>
        <w:rPr>
          <w:rFonts w:hint="eastAsia" w:ascii="宋体" w:hAnsi="宋体"/>
          <w:b w:val="0"/>
          <w:bCs/>
          <w:color w:val="auto"/>
          <w:sz w:val="21"/>
          <w:szCs w:val="21"/>
          <w:highlight w:val="none"/>
        </w:rPr>
        <w:t>账户名称：</w:t>
      </w:r>
      <w:r>
        <w:rPr>
          <w:rFonts w:hint="eastAsia" w:ascii="宋体" w:hAnsi="宋体" w:eastAsia="宋体" w:cs="宋体"/>
          <w:i w:val="0"/>
          <w:iCs w:val="0"/>
          <w:caps w:val="0"/>
          <w:spacing w:val="0"/>
          <w:sz w:val="21"/>
          <w:szCs w:val="21"/>
          <w:highlight w:val="none"/>
          <w:u w:val="none"/>
          <w:shd w:val="clear" w:fill="FFFFFF"/>
          <w:lang w:val="en-US" w:eastAsia="zh-CN"/>
        </w:rPr>
        <w:t xml:space="preserve">    </w:t>
      </w:r>
    </w:p>
    <w:p w14:paraId="5A72B837">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 xml:space="preserve">开户银行：                   </w:t>
      </w:r>
    </w:p>
    <w:p w14:paraId="1F09012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val="0"/>
          <w:bCs/>
          <w:color w:val="auto"/>
          <w:szCs w:val="21"/>
          <w:highlight w:val="none"/>
        </w:rPr>
        <w:t xml:space="preserve">银行账号：                 </w:t>
      </w:r>
    </w:p>
    <w:p w14:paraId="00899796">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color w:val="auto"/>
          <w:szCs w:val="21"/>
          <w:highlight w:val="none"/>
        </w:rPr>
        <w:t>第五条  知识产权（若有）</w:t>
      </w:r>
      <w:bookmarkEnd w:id="12"/>
    </w:p>
    <w:p w14:paraId="7B21DC90">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乙方应保证所提供的服务或其任何一部分均不会侵犯任何第三方的专利权、商标权或著作权。</w:t>
      </w:r>
    </w:p>
    <w:p w14:paraId="5A0B0B8C">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color w:val="auto"/>
          <w:szCs w:val="21"/>
          <w:highlight w:val="none"/>
        </w:rPr>
      </w:pPr>
      <w:bookmarkStart w:id="13" w:name="_Toc31647"/>
      <w:r>
        <w:rPr>
          <w:rFonts w:hint="eastAsia" w:ascii="宋体" w:hAnsi="宋体"/>
          <w:b/>
          <w:color w:val="auto"/>
          <w:szCs w:val="21"/>
          <w:highlight w:val="none"/>
        </w:rPr>
        <w:t>第六条  无产权瑕疵条款（如有）</w:t>
      </w:r>
      <w:bookmarkEnd w:id="13"/>
    </w:p>
    <w:p w14:paraId="63B40A97">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乙方保证所提供的服务的所有权完全属于乙方且无任何抵押、查封等产权瑕疵。如有产权瑕疵的，视为乙方违约。乙方应负担由此而产生的一切损失。</w:t>
      </w:r>
    </w:p>
    <w:p w14:paraId="3C400F5F">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b/>
          <w:color w:val="auto"/>
          <w:szCs w:val="21"/>
          <w:highlight w:val="none"/>
        </w:rPr>
      </w:pPr>
      <w:bookmarkStart w:id="14" w:name="_Toc4779"/>
      <w:r>
        <w:rPr>
          <w:rFonts w:hint="eastAsia" w:ascii="宋体"/>
          <w:b/>
          <w:color w:val="auto"/>
          <w:szCs w:val="21"/>
          <w:highlight w:val="none"/>
        </w:rPr>
        <w:t>第七条  履约保证金（如有）</w:t>
      </w:r>
      <w:bookmarkEnd w:id="14"/>
    </w:p>
    <w:p w14:paraId="6D9C82F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w:t>
      </w:r>
      <w:r>
        <w:rPr>
          <w:rFonts w:hint="eastAsia" w:ascii="宋体" w:hAnsi="宋体" w:eastAsia="宋体" w:cs="宋体"/>
          <w:color w:val="auto"/>
          <w:kern w:val="0"/>
          <w:szCs w:val="21"/>
          <w:highlight w:val="none"/>
          <w:lang w:eastAsia="zh-CN"/>
        </w:rPr>
        <w:t>甲方</w:t>
      </w:r>
      <w:r>
        <w:rPr>
          <w:rFonts w:hint="eastAsia" w:ascii="宋体" w:hAnsi="宋体" w:cs="宋体"/>
          <w:color w:val="auto"/>
          <w:kern w:val="0"/>
          <w:szCs w:val="21"/>
          <w:highlight w:val="none"/>
        </w:rPr>
        <w:t>提交履约保证金人民币</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4DBA86B1">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31D2630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3.履约保证金作为违约金的一部分及用于补偿甲方因乙方不能履行合同义务而蒙受的损失。</w:t>
      </w:r>
    </w:p>
    <w:p w14:paraId="38AA779A">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5916D69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5.乙方</w:t>
      </w:r>
      <w:r>
        <w:rPr>
          <w:rFonts w:hint="eastAsia"/>
          <w:color w:val="auto"/>
          <w:szCs w:val="21"/>
          <w:highlight w:val="none"/>
        </w:rPr>
        <w:t>可以履约担保函的形式交纳履约保证金。</w:t>
      </w:r>
    </w:p>
    <w:p w14:paraId="4D6C2D4C">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15" w:name="_Toc16162"/>
      <w:r>
        <w:rPr>
          <w:rFonts w:hint="eastAsia" w:ascii="宋体" w:hAnsi="宋体"/>
          <w:b/>
          <w:color w:val="auto"/>
          <w:szCs w:val="21"/>
          <w:highlight w:val="none"/>
        </w:rPr>
        <w:t xml:space="preserve">第八条  </w:t>
      </w:r>
      <w:r>
        <w:rPr>
          <w:rFonts w:ascii="宋体" w:hAnsi="宋体"/>
          <w:b/>
          <w:color w:val="auto"/>
          <w:szCs w:val="21"/>
          <w:highlight w:val="none"/>
        </w:rPr>
        <w:t>甲方的权利和义务</w:t>
      </w:r>
      <w:bookmarkEnd w:id="15"/>
    </w:p>
    <w:p w14:paraId="5285195A">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进行监督和检查，拥有监管权。有权定期核对乙方提供服务所配备的人员数量。对甲方认为不合理的部分有权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633E7E1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负责检查监督乙方管理工作的实施及制度的执行情况。</w:t>
      </w:r>
    </w:p>
    <w:p w14:paraId="35C5623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39D2627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所规定由甲方承担的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4FEEF768">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16" w:name="_Toc27740"/>
      <w:r>
        <w:rPr>
          <w:rFonts w:hint="eastAsia" w:ascii="宋体" w:hAnsi="宋体"/>
          <w:b/>
          <w:color w:val="auto"/>
          <w:szCs w:val="21"/>
          <w:highlight w:val="none"/>
        </w:rPr>
        <w:t xml:space="preserve">第九条  </w:t>
      </w:r>
      <w:r>
        <w:rPr>
          <w:rFonts w:ascii="宋体" w:hAnsi="宋体"/>
          <w:b/>
          <w:color w:val="auto"/>
          <w:szCs w:val="21"/>
          <w:highlight w:val="none"/>
        </w:rPr>
        <w:t>乙方的权利和义务</w:t>
      </w:r>
      <w:bookmarkEnd w:id="16"/>
    </w:p>
    <w:p w14:paraId="4CDD16E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13E0EE6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5F9C695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rPr>
        <w:t>3.及时向甲方通告本项目服务范围内有关服务的重大事项，及时配合处理投诉。</w:t>
      </w:r>
    </w:p>
    <w:p w14:paraId="7B34CB3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4.</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0696DD1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所规定由乙方承担的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5848FE07">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17" w:name="_Toc25988"/>
      <w:r>
        <w:rPr>
          <w:rFonts w:hint="eastAsia" w:ascii="宋体" w:hAnsi="宋体"/>
          <w:b/>
          <w:color w:val="auto"/>
          <w:szCs w:val="21"/>
          <w:highlight w:val="none"/>
        </w:rPr>
        <w:t xml:space="preserve">第十条 </w:t>
      </w:r>
      <w:r>
        <w:rPr>
          <w:rFonts w:ascii="宋体" w:hAnsi="宋体"/>
          <w:b/>
          <w:color w:val="auto"/>
          <w:szCs w:val="21"/>
          <w:highlight w:val="none"/>
        </w:rPr>
        <w:t xml:space="preserve"> 违约责任</w:t>
      </w:r>
      <w:bookmarkEnd w:id="17"/>
    </w:p>
    <w:p w14:paraId="5BA054B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甲乙双方必须遵守本合同并执行合同中的各项规定，保证</w:t>
      </w:r>
      <w:r>
        <w:rPr>
          <w:rFonts w:hint="eastAsia" w:ascii="宋体" w:hAnsi="宋体"/>
          <w:bCs/>
          <w:color w:val="auto"/>
          <w:szCs w:val="21"/>
          <w:highlight w:val="none"/>
        </w:rPr>
        <w:t>本</w:t>
      </w:r>
      <w:r>
        <w:rPr>
          <w:rFonts w:ascii="宋体" w:hAnsi="宋体"/>
          <w:bCs/>
          <w:color w:val="auto"/>
          <w:szCs w:val="21"/>
          <w:highlight w:val="none"/>
        </w:rPr>
        <w:t>合同的正常</w:t>
      </w:r>
      <w:r>
        <w:rPr>
          <w:rFonts w:hint="eastAsia" w:ascii="宋体" w:hAnsi="宋体"/>
          <w:bCs/>
          <w:color w:val="auto"/>
          <w:szCs w:val="21"/>
          <w:highlight w:val="none"/>
        </w:rPr>
        <w:t>履行</w:t>
      </w:r>
      <w:r>
        <w:rPr>
          <w:rFonts w:ascii="宋体" w:hAnsi="宋体"/>
          <w:bCs/>
          <w:color w:val="auto"/>
          <w:szCs w:val="21"/>
          <w:highlight w:val="none"/>
        </w:rPr>
        <w:t>。</w:t>
      </w:r>
    </w:p>
    <w:p w14:paraId="0EEF98F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w:t>
      </w:r>
      <w:r>
        <w:rPr>
          <w:rFonts w:hint="eastAsia" w:ascii="宋体" w:hAnsi="宋体" w:eastAsia="宋体"/>
          <w:bCs/>
          <w:szCs w:val="21"/>
          <w:highlight w:val="none"/>
          <w:lang w:eastAsia="zh-CN"/>
        </w:rPr>
        <w:t>的</w:t>
      </w:r>
      <w:r>
        <w:rPr>
          <w:rFonts w:ascii="宋体" w:hAnsi="宋体"/>
          <w:bCs/>
          <w:szCs w:val="21"/>
          <w:highlight w:val="none"/>
        </w:rPr>
        <w:t>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54D43E86">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szCs w:val="21"/>
          <w:highlight w:val="none"/>
        </w:rPr>
      </w:pPr>
      <w:bookmarkStart w:id="18" w:name="_Toc26448"/>
      <w:r>
        <w:rPr>
          <w:rFonts w:hint="eastAsia" w:ascii="宋体" w:hAnsi="宋体"/>
          <w:b/>
          <w:szCs w:val="21"/>
          <w:highlight w:val="none"/>
        </w:rPr>
        <w:t>第十一条  不可抗力事件处理</w:t>
      </w:r>
      <w:bookmarkEnd w:id="18"/>
    </w:p>
    <w:p w14:paraId="2EFD4A11">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highlight w:val="none"/>
        </w:rPr>
      </w:pPr>
      <w:bookmarkStart w:id="19" w:name="_Toc241833908"/>
      <w:bookmarkStart w:id="20" w:name="_Toc238984980"/>
      <w:bookmarkStart w:id="21" w:name="_Toc247334846"/>
      <w:bookmarkStart w:id="22" w:name="_Toc239233919"/>
      <w:bookmarkStart w:id="23" w:name="_Toc239568423"/>
      <w:bookmarkStart w:id="24" w:name="_Toc225244857"/>
      <w:bookmarkStart w:id="25" w:name="_Toc286993792"/>
      <w:bookmarkStart w:id="26" w:name="_Toc211854454"/>
      <w:bookmarkStart w:id="27" w:name="_Toc185395254"/>
      <w:bookmarkStart w:id="28" w:name="_Toc232492933"/>
      <w:bookmarkStart w:id="29" w:name="_Toc211911353"/>
      <w:bookmarkStart w:id="30" w:name="_Toc251768867"/>
      <w:bookmarkStart w:id="31" w:name="_Toc212019599"/>
      <w:bookmarkStart w:id="32" w:name="_Toc225654649"/>
      <w:bookmarkStart w:id="33" w:name="_Toc237145411"/>
      <w:bookmarkStart w:id="34" w:name="_Toc225670756"/>
      <w:r>
        <w:rPr>
          <w:rFonts w:hint="eastAsia" w:ascii="宋体" w:hAnsi="宋体"/>
          <w:szCs w:val="21"/>
          <w:highlight w:val="none"/>
        </w:rPr>
        <w:t>1.在合同有效期内，任何一方因不可抗力事件导致不能履行合同，则合同履行期可延长，其延长期与不可抗力影响期相同。</w:t>
      </w:r>
    </w:p>
    <w:p w14:paraId="3741819F">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0EFEC4F7">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highlight w:val="none"/>
        </w:rPr>
      </w:pPr>
      <w:r>
        <w:rPr>
          <w:rFonts w:hint="eastAsia" w:ascii="宋体" w:hAnsi="宋体"/>
          <w:szCs w:val="21"/>
          <w:highlight w:val="none"/>
        </w:rPr>
        <w:t>3.不可抗力事件延续</w:t>
      </w:r>
      <w:r>
        <w:rPr>
          <w:rFonts w:hint="eastAsia" w:ascii="宋体" w:hAnsi="宋体"/>
          <w:szCs w:val="21"/>
          <w:highlight w:val="none"/>
          <w:u w:val="single"/>
          <w:lang w:val="en-US" w:eastAsia="zh-CN"/>
        </w:rPr>
        <w:t xml:space="preserve">   </w:t>
      </w:r>
      <w:r>
        <w:rPr>
          <w:rFonts w:hint="eastAsia" w:ascii="宋体" w:hAnsi="宋体"/>
          <w:szCs w:val="21"/>
          <w:highlight w:val="none"/>
        </w:rPr>
        <w:t>天以上，双方应通过友好协商，确定是否继续履行合同。</w:t>
      </w:r>
    </w:p>
    <w:p w14:paraId="779528C8">
      <w:pPr>
        <w:keepNext w:val="0"/>
        <w:keepLines w:val="0"/>
        <w:pageBreakBefore w:val="0"/>
        <w:widowControl/>
        <w:wordWrap/>
        <w:overflowPunct/>
        <w:topLinePunct w:val="0"/>
        <w:bidi w:val="0"/>
        <w:adjustRightInd w:val="0"/>
        <w:snapToGrid w:val="0"/>
        <w:spacing w:before="120" w:beforeLines="50" w:after="120" w:afterLines="50" w:line="360" w:lineRule="auto"/>
        <w:ind w:firstLine="422" w:firstLineChars="200"/>
        <w:jc w:val="left"/>
        <w:textAlignment w:val="baseline"/>
        <w:outlineLvl w:val="1"/>
        <w:rPr>
          <w:rFonts w:hint="eastAsia" w:ascii="宋体" w:hAnsi="宋体" w:cs="宋体"/>
          <w:kern w:val="0"/>
          <w:szCs w:val="21"/>
          <w:highlight w:val="none"/>
        </w:rPr>
      </w:pPr>
      <w:bookmarkStart w:id="35" w:name="_Toc20448"/>
      <w:r>
        <w:rPr>
          <w:rFonts w:hint="eastAsia" w:ascii="宋体" w:hAnsi="宋体"/>
          <w:b/>
          <w:szCs w:val="21"/>
          <w:highlight w:val="none"/>
        </w:rPr>
        <w:t xml:space="preserve">第十二条  </w:t>
      </w:r>
      <w:r>
        <w:rPr>
          <w:rFonts w:hint="eastAsia" w:ascii="宋体" w:hAnsi="宋体" w:cs="宋体"/>
          <w:b/>
          <w:kern w:val="0"/>
          <w:szCs w:val="21"/>
          <w:highlight w:val="none"/>
        </w:rPr>
        <w:t>合同的变更和终止</w:t>
      </w:r>
      <w:bookmarkEnd w:id="35"/>
    </w:p>
    <w:p w14:paraId="1BA2566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kern w:val="0"/>
          <w:szCs w:val="21"/>
          <w:highlight w:val="none"/>
        </w:rPr>
      </w:pPr>
      <w:r>
        <w:rPr>
          <w:rFonts w:hint="eastAsia" w:ascii="宋体" w:hAnsi="宋体" w:cs="宋体"/>
          <w:kern w:val="0"/>
          <w:szCs w:val="21"/>
          <w:highlight w:val="none"/>
        </w:rPr>
        <w:t>除《中华人民共和国政府采购法》第49条、第50条第二款规定的情形外，本合同一经签订，甲乙双方不得擅自变更、中止或终止合同。</w:t>
      </w:r>
    </w:p>
    <w:p w14:paraId="10CD99D8">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highlight w:val="none"/>
        </w:rPr>
      </w:pPr>
      <w:bookmarkStart w:id="36" w:name="_Toc32004"/>
      <w:r>
        <w:rPr>
          <w:rFonts w:hint="eastAsia" w:ascii="宋体" w:hAnsi="宋体"/>
          <w:b/>
          <w:szCs w:val="21"/>
          <w:highlight w:val="none"/>
        </w:rPr>
        <w:t>第十三条  解</w:t>
      </w:r>
      <w:r>
        <w:rPr>
          <w:rFonts w:ascii="宋体" w:hAnsi="宋体"/>
          <w:b/>
          <w:szCs w:val="21"/>
          <w:highlight w:val="none"/>
        </w:rPr>
        <w:t>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6"/>
    </w:p>
    <w:p w14:paraId="1C613421">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ascii="宋体" w:hAnsi="宋体" w:eastAsia="宋体"/>
          <w:sz w:val="21"/>
          <w:szCs w:val="21"/>
          <w:highlight w:val="none"/>
          <w:lang w:eastAsia="zh-CN"/>
        </w:rPr>
        <w:t>1.</w:t>
      </w:r>
      <w:r>
        <w:rPr>
          <w:rFonts w:ascii="宋体" w:hAnsi="宋体"/>
          <w:sz w:val="21"/>
          <w:szCs w:val="21"/>
          <w:highlight w:val="none"/>
        </w:rPr>
        <w:t>在执行本合同中发生的或与本合同有关的争端，双方应通过友好协商解决，经协商在</w:t>
      </w:r>
      <w:r>
        <w:rPr>
          <w:rFonts w:hint="eastAsia"/>
          <w:sz w:val="21"/>
          <w:szCs w:val="21"/>
          <w:highlight w:val="none"/>
          <w:u w:val="single"/>
          <w:lang w:val="en-US" w:eastAsia="zh-CN"/>
        </w:rPr>
        <w:t xml:space="preserve">   </w:t>
      </w:r>
      <w:r>
        <w:rPr>
          <w:rFonts w:ascii="宋体" w:hAnsi="宋体"/>
          <w:sz w:val="21"/>
          <w:szCs w:val="21"/>
          <w:highlight w:val="none"/>
        </w:rPr>
        <w:t>天内不能达成协议时，</w:t>
      </w:r>
      <w:r>
        <w:rPr>
          <w:rFonts w:hint="eastAsia"/>
          <w:kern w:val="0"/>
          <w:sz w:val="21"/>
          <w:szCs w:val="21"/>
          <w:highlight w:val="none"/>
        </w:rPr>
        <w:t>则采取以下第</w:t>
      </w:r>
      <w:r>
        <w:rPr>
          <w:rFonts w:hint="eastAsia"/>
          <w:kern w:val="0"/>
          <w:sz w:val="21"/>
          <w:szCs w:val="21"/>
          <w:highlight w:val="none"/>
          <w:u w:val="single"/>
        </w:rPr>
        <w:t xml:space="preserve"> 1 </w:t>
      </w:r>
      <w:r>
        <w:rPr>
          <w:rFonts w:hint="eastAsia"/>
          <w:kern w:val="0"/>
          <w:sz w:val="21"/>
          <w:szCs w:val="21"/>
          <w:highlight w:val="none"/>
        </w:rPr>
        <w:t>种方式解决争议：</w:t>
      </w:r>
    </w:p>
    <w:p w14:paraId="0A47E0D5">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kern w:val="0"/>
          <w:sz w:val="21"/>
          <w:szCs w:val="21"/>
          <w:highlight w:val="none"/>
        </w:rPr>
        <w:t>（1）向甲方所在地有管辖权的人民法院提起诉讼；</w:t>
      </w:r>
    </w:p>
    <w:p w14:paraId="58AC515C">
      <w:pPr>
        <w:pStyle w:val="9"/>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kern w:val="0"/>
          <w:sz w:val="21"/>
          <w:szCs w:val="21"/>
          <w:highlight w:val="none"/>
        </w:rPr>
        <w:t>（2）向</w:t>
      </w:r>
      <w:r>
        <w:rPr>
          <w:rFonts w:hint="eastAsia"/>
          <w:kern w:val="0"/>
          <w:sz w:val="21"/>
          <w:szCs w:val="21"/>
          <w:highlight w:val="none"/>
          <w:u w:val="single"/>
        </w:rPr>
        <w:t xml:space="preserve">  </w:t>
      </w:r>
      <w:r>
        <w:rPr>
          <w:rFonts w:hint="eastAsia"/>
          <w:kern w:val="0"/>
          <w:sz w:val="21"/>
          <w:szCs w:val="21"/>
          <w:highlight w:val="none"/>
          <w:u w:val="single"/>
          <w:lang w:val="en-US" w:eastAsia="zh-CN"/>
        </w:rPr>
        <w:t xml:space="preserve"> /</w:t>
      </w:r>
      <w:r>
        <w:rPr>
          <w:rFonts w:hint="eastAsia"/>
          <w:kern w:val="0"/>
          <w:sz w:val="21"/>
          <w:szCs w:val="21"/>
          <w:highlight w:val="none"/>
          <w:u w:val="single"/>
        </w:rPr>
        <w:t xml:space="preserve">  </w:t>
      </w:r>
      <w:r>
        <w:rPr>
          <w:rFonts w:hint="eastAsia"/>
          <w:kern w:val="0"/>
          <w:sz w:val="21"/>
          <w:szCs w:val="21"/>
          <w:highlight w:val="none"/>
        </w:rPr>
        <w:t>仲裁委员会按其仲裁规则申请仲裁。</w:t>
      </w:r>
    </w:p>
    <w:p w14:paraId="1921F265">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highlight w:val="none"/>
        </w:rPr>
      </w:pPr>
      <w:r>
        <w:rPr>
          <w:rFonts w:hint="eastAsia" w:ascii="宋体" w:hAnsi="宋体" w:eastAsia="宋体"/>
          <w:kern w:val="0"/>
          <w:szCs w:val="21"/>
          <w:highlight w:val="none"/>
          <w:lang w:eastAsia="zh-CN"/>
        </w:rPr>
        <w:t>2.</w:t>
      </w:r>
      <w:r>
        <w:rPr>
          <w:rFonts w:hint="eastAsia" w:ascii="宋体" w:hAnsi="宋体"/>
          <w:kern w:val="0"/>
          <w:szCs w:val="21"/>
          <w:highlight w:val="none"/>
        </w:rPr>
        <w:t>在仲裁期间，本合同应继续履行。</w:t>
      </w:r>
    </w:p>
    <w:p w14:paraId="61A0B128">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highlight w:val="none"/>
        </w:rPr>
      </w:pPr>
      <w:bookmarkStart w:id="37" w:name="_Toc211911354"/>
      <w:bookmarkStart w:id="38" w:name="_Toc238984981"/>
      <w:bookmarkStart w:id="39" w:name="_Toc286993793"/>
      <w:bookmarkStart w:id="40" w:name="_Toc237145412"/>
      <w:bookmarkStart w:id="41" w:name="_Toc225670757"/>
      <w:bookmarkStart w:id="42" w:name="_Toc282696231"/>
      <w:bookmarkStart w:id="43" w:name="_Toc212019600"/>
      <w:bookmarkStart w:id="44" w:name="_Toc239233920"/>
      <w:bookmarkStart w:id="45" w:name="_Toc251768868"/>
      <w:bookmarkStart w:id="46" w:name="_Toc239568424"/>
      <w:bookmarkStart w:id="47" w:name="_Toc232492934"/>
      <w:bookmarkStart w:id="48" w:name="_Toc185395255"/>
      <w:bookmarkStart w:id="49" w:name="_Toc283019219"/>
      <w:bookmarkStart w:id="50" w:name="_Toc211854455"/>
      <w:bookmarkStart w:id="51" w:name="_Toc247334847"/>
      <w:bookmarkStart w:id="52" w:name="_Toc241833909"/>
      <w:bookmarkStart w:id="53" w:name="_Toc225244858"/>
      <w:bookmarkStart w:id="54" w:name="_Toc225654650"/>
      <w:bookmarkStart w:id="55" w:name="_Toc28433"/>
      <w:r>
        <w:rPr>
          <w:rFonts w:hint="eastAsia" w:ascii="宋体" w:hAnsi="宋体"/>
          <w:b/>
          <w:szCs w:val="21"/>
          <w:highlight w:val="none"/>
        </w:rPr>
        <w:t xml:space="preserve">第十四条  </w:t>
      </w:r>
      <w:r>
        <w:rPr>
          <w:rFonts w:ascii="宋体" w:hAnsi="宋体"/>
          <w:b/>
          <w:szCs w:val="21"/>
          <w:highlight w:val="none"/>
        </w:rPr>
        <w:t>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宋体" w:hAnsi="宋体"/>
          <w:b/>
          <w:szCs w:val="21"/>
          <w:highlight w:val="none"/>
        </w:rPr>
        <w:t>生效及其他</w:t>
      </w:r>
      <w:bookmarkEnd w:id="55"/>
    </w:p>
    <w:p w14:paraId="4EB89A6C">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1.</w:t>
      </w:r>
      <w:r>
        <w:rPr>
          <w:rFonts w:hint="eastAsia" w:ascii="宋体" w:hAnsi="宋体"/>
          <w:sz w:val="21"/>
          <w:szCs w:val="21"/>
          <w:highlight w:val="none"/>
        </w:rPr>
        <w:t>合同经双方法定代表人（单位负责人）或授权委托代理人签字并加盖单位公章并由采购代理机构盖章后生效。</w:t>
      </w:r>
    </w:p>
    <w:p w14:paraId="6C7ADF16">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2.</w:t>
      </w:r>
      <w:r>
        <w:rPr>
          <w:rFonts w:hint="eastAsia" w:ascii="宋体" w:hAnsi="宋体"/>
          <w:sz w:val="21"/>
          <w:szCs w:val="21"/>
          <w:highlight w:val="none"/>
        </w:rPr>
        <w:t>合同执行中涉及采购资金和采购内容修改或补充的，须经政府采购监管部门审批，并</w:t>
      </w:r>
      <w:r>
        <w:rPr>
          <w:rFonts w:hint="eastAsia" w:ascii="宋体" w:hAnsi="宋体" w:eastAsia="宋体"/>
          <w:sz w:val="21"/>
          <w:szCs w:val="21"/>
          <w:highlight w:val="none"/>
          <w:lang w:eastAsia="zh-CN"/>
        </w:rPr>
        <w:t>签订</w:t>
      </w:r>
      <w:r>
        <w:rPr>
          <w:rFonts w:hint="eastAsia" w:ascii="宋体" w:hAnsi="宋体"/>
          <w:sz w:val="21"/>
          <w:szCs w:val="21"/>
          <w:highlight w:val="none"/>
        </w:rPr>
        <w:t>书面补充协议报政府采购监督管理部门备案，方可作为主合同不可分割的一部分。</w:t>
      </w:r>
    </w:p>
    <w:p w14:paraId="6E0FCE4D">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3.</w:t>
      </w:r>
      <w:r>
        <w:rPr>
          <w:rFonts w:hint="eastAsia" w:ascii="宋体" w:hAnsi="宋体"/>
          <w:sz w:val="21"/>
          <w:szCs w:val="21"/>
          <w:highlight w:val="none"/>
        </w:rPr>
        <w:t>本合同一式</w:t>
      </w:r>
      <w:r>
        <w:rPr>
          <w:rFonts w:hint="eastAsia" w:ascii="宋体" w:hAnsi="宋体"/>
          <w:sz w:val="21"/>
          <w:szCs w:val="21"/>
          <w:highlight w:val="none"/>
          <w:lang w:val="en-US" w:eastAsia="zh-CN"/>
        </w:rPr>
        <w:t>陆</w:t>
      </w:r>
      <w:r>
        <w:rPr>
          <w:rFonts w:hint="eastAsia" w:ascii="宋体" w:hAnsi="宋体"/>
          <w:sz w:val="21"/>
          <w:szCs w:val="21"/>
          <w:highlight w:val="none"/>
        </w:rPr>
        <w:t>份，自双方签章之日起</w:t>
      </w:r>
      <w:r>
        <w:rPr>
          <w:rFonts w:hint="eastAsia" w:ascii="宋体" w:hAnsi="宋体" w:eastAsia="宋体"/>
          <w:sz w:val="21"/>
          <w:szCs w:val="21"/>
          <w:highlight w:val="none"/>
          <w:lang w:eastAsia="zh-CN"/>
        </w:rPr>
        <w:t>生效</w:t>
      </w:r>
      <w:r>
        <w:rPr>
          <w:rFonts w:hint="eastAsia" w:ascii="宋体" w:hAnsi="宋体"/>
          <w:sz w:val="21"/>
          <w:szCs w:val="21"/>
          <w:highlight w:val="none"/>
        </w:rPr>
        <w:t>。甲方</w:t>
      </w:r>
      <w:r>
        <w:rPr>
          <w:rFonts w:hint="eastAsia"/>
          <w:sz w:val="21"/>
          <w:szCs w:val="21"/>
          <w:highlight w:val="none"/>
          <w:lang w:val="en-US" w:eastAsia="zh-CN"/>
        </w:rPr>
        <w:t>贰</w:t>
      </w:r>
      <w:r>
        <w:rPr>
          <w:rFonts w:hint="eastAsia" w:ascii="宋体" w:hAnsi="宋体"/>
          <w:sz w:val="21"/>
          <w:szCs w:val="21"/>
          <w:highlight w:val="none"/>
        </w:rPr>
        <w:t>份，乙方</w:t>
      </w:r>
      <w:r>
        <w:rPr>
          <w:rFonts w:hint="eastAsia"/>
          <w:sz w:val="21"/>
          <w:szCs w:val="21"/>
          <w:highlight w:val="none"/>
          <w:lang w:val="en-US" w:eastAsia="zh-CN"/>
        </w:rPr>
        <w:t>贰</w:t>
      </w:r>
      <w:r>
        <w:rPr>
          <w:rFonts w:hint="eastAsia" w:ascii="宋体" w:hAnsi="宋体"/>
          <w:sz w:val="21"/>
          <w:szCs w:val="21"/>
          <w:highlight w:val="none"/>
        </w:rPr>
        <w:t>份，政府采购代理机构</w:t>
      </w:r>
      <w:r>
        <w:rPr>
          <w:rFonts w:hint="eastAsia"/>
          <w:sz w:val="21"/>
          <w:szCs w:val="21"/>
          <w:highlight w:val="none"/>
        </w:rPr>
        <w:t>壹</w:t>
      </w:r>
      <w:r>
        <w:rPr>
          <w:rFonts w:hint="eastAsia" w:ascii="宋体" w:hAnsi="宋体"/>
          <w:sz w:val="21"/>
          <w:szCs w:val="21"/>
          <w:highlight w:val="none"/>
        </w:rPr>
        <w:t>份，同级财政部门备案</w:t>
      </w:r>
      <w:r>
        <w:rPr>
          <w:rFonts w:hint="eastAsia"/>
          <w:sz w:val="21"/>
          <w:szCs w:val="21"/>
          <w:highlight w:val="none"/>
        </w:rPr>
        <w:t>壹</w:t>
      </w:r>
      <w:r>
        <w:rPr>
          <w:rFonts w:hint="eastAsia" w:ascii="宋体" w:hAnsi="宋体"/>
          <w:sz w:val="21"/>
          <w:szCs w:val="21"/>
          <w:highlight w:val="none"/>
        </w:rPr>
        <w:t>份，具有同等法律效力。</w:t>
      </w:r>
    </w:p>
    <w:p w14:paraId="46632757">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b/>
          <w:bCs/>
          <w:sz w:val="21"/>
          <w:szCs w:val="21"/>
          <w:highlight w:val="none"/>
        </w:rPr>
      </w:pPr>
      <w:r>
        <w:rPr>
          <w:rFonts w:hint="eastAsia" w:ascii="宋体" w:hAnsi="宋体"/>
          <w:b/>
          <w:bCs/>
          <w:sz w:val="21"/>
          <w:szCs w:val="21"/>
          <w:highlight w:val="none"/>
        </w:rPr>
        <w:t>第十五条 附件</w:t>
      </w:r>
    </w:p>
    <w:p w14:paraId="1A4662C6">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1.</w:t>
      </w:r>
      <w:r>
        <w:rPr>
          <w:rFonts w:hint="eastAsia" w:ascii="宋体" w:hAnsi="宋体"/>
          <w:sz w:val="21"/>
          <w:szCs w:val="21"/>
          <w:highlight w:val="none"/>
        </w:rPr>
        <w:t>项目采购文件</w:t>
      </w:r>
    </w:p>
    <w:p w14:paraId="5EFB2EEF">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2.</w:t>
      </w:r>
      <w:r>
        <w:rPr>
          <w:rFonts w:hint="eastAsia" w:ascii="宋体" w:hAnsi="宋体"/>
          <w:sz w:val="21"/>
          <w:szCs w:val="21"/>
          <w:highlight w:val="none"/>
        </w:rPr>
        <w:t>项目修改澄清文件</w:t>
      </w:r>
    </w:p>
    <w:p w14:paraId="27EF38CE">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3.</w:t>
      </w:r>
      <w:r>
        <w:rPr>
          <w:rFonts w:hint="eastAsia" w:ascii="宋体" w:hAnsi="宋体"/>
          <w:sz w:val="21"/>
          <w:szCs w:val="21"/>
          <w:highlight w:val="none"/>
        </w:rPr>
        <w:t>项目响应文件</w:t>
      </w:r>
    </w:p>
    <w:p w14:paraId="7A4CDCDA">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4.</w:t>
      </w:r>
      <w:r>
        <w:rPr>
          <w:rFonts w:hint="eastAsia" w:ascii="宋体" w:hAnsi="宋体"/>
          <w:sz w:val="21"/>
          <w:szCs w:val="21"/>
          <w:highlight w:val="none"/>
        </w:rPr>
        <w:t>成交通知书</w:t>
      </w:r>
    </w:p>
    <w:p w14:paraId="2687A3D1">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5.</w:t>
      </w:r>
      <w:r>
        <w:rPr>
          <w:rFonts w:hint="eastAsia" w:ascii="宋体" w:hAnsi="宋体"/>
          <w:sz w:val="21"/>
          <w:szCs w:val="21"/>
          <w:highlight w:val="none"/>
        </w:rPr>
        <w:t>其他</w:t>
      </w:r>
    </w:p>
    <w:p w14:paraId="67D2B362">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br w:type="page"/>
      </w:r>
    </w:p>
    <w:p w14:paraId="3A7FEA0E">
      <w:pPr>
        <w:pStyle w:val="11"/>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此页无正文</w:t>
      </w:r>
      <w:r>
        <w:rPr>
          <w:rFonts w:hint="eastAsia" w:ascii="宋体" w:hAnsi="宋体"/>
          <w:sz w:val="21"/>
          <w:szCs w:val="21"/>
          <w:highlight w:val="none"/>
          <w:lang w:eastAsia="zh-CN"/>
        </w:rPr>
        <w:t>）</w:t>
      </w:r>
    </w:p>
    <w:p w14:paraId="796A18A1">
      <w:pPr>
        <w:pStyle w:val="2"/>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highlight w:val="none"/>
        </w:rPr>
      </w:pPr>
    </w:p>
    <w:p w14:paraId="4D43F98A">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甲方：   （盖章）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乙方：   （盖章）</w:t>
      </w:r>
    </w:p>
    <w:p w14:paraId="303E0DF8">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法定代表人：（单位负责人）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法定代表人：（单位负责人）</w:t>
      </w:r>
    </w:p>
    <w:p w14:paraId="189B6B45">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地    址：                           地    址：</w:t>
      </w:r>
    </w:p>
    <w:p w14:paraId="02E78DD7">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开户银行：                           开户银行：</w:t>
      </w:r>
    </w:p>
    <w:p w14:paraId="5E727627">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账号：                               账号：</w:t>
      </w:r>
    </w:p>
    <w:p w14:paraId="188E8DFB">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电    话：                           电    话：</w:t>
      </w:r>
    </w:p>
    <w:p w14:paraId="34C9D5E3">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传    真：                           传    真：</w:t>
      </w:r>
    </w:p>
    <w:p w14:paraId="5423D6FA">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签约日期：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签约日期：  年  月  日</w:t>
      </w:r>
      <w:bookmarkStart w:id="56" w:name="_GoBack"/>
      <w:bookmarkEnd w:id="5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79580"/>
    <w:multiLevelType w:val="singleLevel"/>
    <w:tmpl w:val="93D79580"/>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3A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4">
    <w:name w:val="toc 1"/>
    <w:basedOn w:val="1"/>
    <w:next w:val="1"/>
    <w:semiHidden/>
    <w:qFormat/>
    <w:uiPriority w:val="99"/>
    <w:pPr>
      <w:tabs>
        <w:tab w:val="right" w:leader="dot" w:pos="9742"/>
      </w:tabs>
      <w:spacing w:before="120" w:after="120"/>
      <w:jc w:val="left"/>
    </w:pPr>
    <w:rPr>
      <w:rFonts w:ascii="黑体" w:hAnsi="黑体" w:cs="黑体"/>
      <w:b/>
      <w:bCs/>
      <w:caps/>
      <w:sz w:val="24"/>
      <w:szCs w:val="24"/>
    </w:rPr>
  </w:style>
  <w:style w:type="paragraph" w:styleId="5">
    <w:name w:val="Body Text First Indent"/>
    <w:basedOn w:val="2"/>
    <w:unhideWhenUsed/>
    <w:qFormat/>
    <w:uiPriority w:val="99"/>
    <w:pPr>
      <w:ind w:firstLine="420" w:firstLineChars="100"/>
    </w:pPr>
  </w:style>
  <w:style w:type="character" w:customStyle="1" w:styleId="8">
    <w:name w:val="标题 1 Char"/>
    <w:qFormat/>
    <w:locked/>
    <w:uiPriority w:val="99"/>
    <w:rPr>
      <w:rFonts w:ascii="Calibri" w:hAnsi="Calibri" w:cs="Calibri"/>
      <w:b/>
      <w:bCs/>
      <w:kern w:val="44"/>
      <w:sz w:val="44"/>
      <w:szCs w:val="44"/>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2025-11-05T05:29:53Z</dcterms:created>
  <dc:creator>张</dc:creator>
  <cp:lastModifiedBy>饣耳</cp:lastModifiedBy>
  <dcterms:modified xsi:type="dcterms:W3CDTF">2025-11-05T05:34:04Z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095E1B3FC6E44F76BC691A991D2DC77B_12</vt:lpwstr>
  </property>
</Properties>
</file>