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版本号：KY2025-1-101020251107001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陕西省生态环境执法重点涉水企业违法排放及水质溯源统筹管控能力建设项目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KY2025-1-1010</w:t>
      </w:r>
      <w:r>
        <w:br/>
      </w:r>
      <w:r>
        <w:br/>
      </w:r>
      <w:r>
        <w:br/>
      </w:r>
    </w:p>
    <w:p>
      <w:pPr>
        <w:pStyle w:val="null3"/>
        <w:jc w:val="center"/>
        <w:outlineLvl w:val="2"/>
      </w:pPr>
      <w:r>
        <w:rPr>
          <w:rFonts w:ascii="仿宋_GB2312" w:hAnsi="仿宋_GB2312" w:cs="仿宋_GB2312" w:eastAsia="仿宋_GB2312"/>
          <w:sz w:val="28"/>
          <w:b/>
        </w:rPr>
        <w:t>陕西省生态环境执法总队</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陕西省生态环境执法总队</w:t>
      </w:r>
      <w:r>
        <w:rPr>
          <w:rFonts w:ascii="仿宋_GB2312" w:hAnsi="仿宋_GB2312" w:cs="仿宋_GB2312" w:eastAsia="仿宋_GB2312"/>
        </w:rPr>
        <w:t>委托，拟对</w:t>
      </w:r>
      <w:r>
        <w:rPr>
          <w:rFonts w:ascii="仿宋_GB2312" w:hAnsi="仿宋_GB2312" w:cs="仿宋_GB2312" w:eastAsia="仿宋_GB2312"/>
        </w:rPr>
        <w:t>陕西省生态环境执法重点涉水企业违法排放及水质溯源统筹管控能力建设项目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KY2025-1-1010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陕西省生态环境执法重点涉水企业违法排放及水质溯源统筹管控能力建设项目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陕西省生态环境执法重点涉水企业违法排放及水质溯源统筹管控能力建设项目，具体内容详见招标文件第3章。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采购包1（涉水污染源执法装备物联管理系统）：属于专门面向中小企业采购。</w:t>
      </w:r>
    </w:p>
    <w:p>
      <w:pPr>
        <w:pStyle w:val="null3"/>
      </w:pPr>
      <w:r>
        <w:rPr>
          <w:rFonts w:ascii="仿宋_GB2312" w:hAnsi="仿宋_GB2312" w:cs="仿宋_GB2312" w:eastAsia="仿宋_GB2312"/>
        </w:rPr>
        <w:t>采购包2（水质指紋预警溯源监管模块）：属于专门面向中小企业采购。</w:t>
      </w:r>
    </w:p>
    <w:p>
      <w:pPr>
        <w:pStyle w:val="null3"/>
      </w:pPr>
      <w:r>
        <w:rPr>
          <w:rFonts w:ascii="仿宋_GB2312" w:hAnsi="仿宋_GB2312" w:cs="仿宋_GB2312" w:eastAsia="仿宋_GB2312"/>
        </w:rPr>
        <w:t>采购包3（涉水基础信息集成应用）：属于专门面向中小企业采购。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11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4、社会保障资金缴存证明：提供2024年11月至今已缴存的至少一个月的社会保障资金缴存单据或社保机构开具的社会保险参保缴费情况证明，依法不需要缴纳社会保障资金的单位应提供相关证明材料。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8、中小企业声明：本项目专门面向中小企业采购，供应商须为中小企业，并提供声明函。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11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4、社会保障资金缴存证明：提供2024年11月至今已缴存的至少一个月的社会保障资金缴存单据或社保机构开具的社会保险参保缴费情况证明，依法不需要缴纳社会保障资金的单位应提供相关证明材料。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8、中小企业声明：本项目专门面向中小企业采购，供应商须为中小企业，并提供声明函。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11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4、社会保障资金缴存证明：提供2024年11月至今已缴存的至少一个月的社会保障资金缴存单据或社保机构开具的社会保险参保缴费情况证明，依法不需要缴纳社会保障资金的单位应提供相关证明材料。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8、中小企业声明：本项目专门面向中小企业采购，供应商须为中小企业，并提供声明函。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陕西省生态环境执法总队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西安市西影路106号陕西环保综合办公大楼11楼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029-85429258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汪涛、刘金柯、吕江涛、卢韶华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采购包1：4,900,000.00元</w:t>
            </w:r>
          </w:p>
          <w:p>
            <w:pPr>
              <w:pStyle w:val="null3"/>
            </w:pPr>
            <w:r>
              <w:rPr>
                <w:rFonts w:ascii="仿宋_GB2312" w:hAnsi="仿宋_GB2312" w:cs="仿宋_GB2312" w:eastAsia="仿宋_GB2312"/>
              </w:rPr>
              <w:t>采购包2：5,040,000.00元</w:t>
            </w:r>
          </w:p>
          <w:p>
            <w:pPr>
              <w:pStyle w:val="null3"/>
            </w:pPr>
            <w:r>
              <w:rPr>
                <w:rFonts w:ascii="仿宋_GB2312" w:hAnsi="仿宋_GB2312" w:cs="仿宋_GB2312" w:eastAsia="仿宋_GB2312"/>
              </w:rPr>
              <w:t>采购包3：1,490,000.00元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采购包1保证金金额：80,000.00元</w:t>
            </w:r>
          </w:p>
          <w:p>
            <w:pPr>
              <w:pStyle w:val="null3"/>
            </w:pPr>
            <w:r>
              <w:rPr>
                <w:rFonts w:ascii="仿宋_GB2312" w:hAnsi="仿宋_GB2312" w:cs="仿宋_GB2312" w:eastAsia="仿宋_GB2312"/>
              </w:rPr>
              <w:t>采购包2保证金金额：90,000.00元</w:t>
            </w:r>
          </w:p>
          <w:p>
            <w:pPr>
              <w:pStyle w:val="null3"/>
            </w:pPr>
            <w:r>
              <w:rPr>
                <w:rFonts w:ascii="仿宋_GB2312" w:hAnsi="仿宋_GB2312" w:cs="仿宋_GB2312" w:eastAsia="仿宋_GB2312"/>
              </w:rPr>
              <w:t>采购包3保证金金额：20,000.00元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银行账号：86113010750181502000570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说明：本采购包履约保证金为合同金额的5.0% 说明：初验通过后, 乙方向甲方提供相应资料，提出付款申请，向甲方提供合同总金额的5%履约保函（基本户银行保函）。</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说明：本采购包履约保证金为合同金额的5.0% 说明：初验通过后, 乙方向甲方提供相应资料，提出付款申请，向甲方提供合同总金额的5%履约保函（基本户银行保函）。</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说明：本采购包履约保证金为合同金额的5.0% 说明：初验通过后, 乙方向甲方提供相应资料，提出付款申请，向甲方提供合同总金额的5%履约保函（基本户银行保函）。</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代理服务费收费标准：参照国家计委《招标代理服务费收费管理暂行办法（计价格〔2002〕1980号）的标准收取。本项目代理服务费按服务计取。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陕西省生态环境执法总队</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陕西省生态环境执法总队</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陕西省生态环境执法总队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依据招标文件及合同要求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依据招标文件及合同要求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依据招标文件及合同要求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联系人：汪涛、刘金柯</w:t>
      </w:r>
    </w:p>
    <w:p>
      <w:pPr>
        <w:pStyle w:val="null3"/>
      </w:pPr>
      <w:r>
        <w:rPr>
          <w:rFonts w:ascii="仿宋_GB2312" w:hAnsi="仿宋_GB2312" w:cs="仿宋_GB2312" w:eastAsia="仿宋_GB2312"/>
        </w:rPr>
        <w:t>联系电话：029-81206622-821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邮编：716000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陕西省生态环境执法重点涉水企业违法排放及水质溯源统筹管控能力建设项目，具体内容详见招标文件第3章。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4,900,000.00</w:t>
      </w:r>
    </w:p>
    <w:p>
      <w:pPr>
        <w:pStyle w:val="null3"/>
      </w:pPr>
      <w:r>
        <w:rPr>
          <w:rFonts w:ascii="仿宋_GB2312" w:hAnsi="仿宋_GB2312" w:cs="仿宋_GB2312" w:eastAsia="仿宋_GB2312"/>
        </w:rPr>
        <w:t>采购包最高限价（元）: 4,900,000.00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涉水污染源执法装备物联管理系统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5,040,000.00</w:t>
      </w:r>
    </w:p>
    <w:p>
      <w:pPr>
        <w:pStyle w:val="null3"/>
      </w:pPr>
      <w:r>
        <w:rPr>
          <w:rFonts w:ascii="仿宋_GB2312" w:hAnsi="仿宋_GB2312" w:cs="仿宋_GB2312" w:eastAsia="仿宋_GB2312"/>
        </w:rPr>
        <w:t>采购包最高限价（元）: 5,040,000.00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水质指纹预警溯源监管模块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1,490,000.00</w:t>
      </w:r>
    </w:p>
    <w:p>
      <w:pPr>
        <w:pStyle w:val="null3"/>
      </w:pPr>
      <w:r>
        <w:rPr>
          <w:rFonts w:ascii="仿宋_GB2312" w:hAnsi="仿宋_GB2312" w:cs="仿宋_GB2312" w:eastAsia="仿宋_GB2312"/>
        </w:rPr>
        <w:t>采购包最高限价（元）: 1,490,000.00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涉水基础信息集成应用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标的名称：涉水污染源执法装备物联管理系统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553"/>
            </w:tblGrid>
            <w:tr>
              <w:tc>
                <w:tcPr>
                  <w:tcW w:type="dxa" w:w="2553"/>
                  <w:tcMar>
                    <w:top w:type="dxa" w:w="0"/>
                    <w:left w:type="dxa" w:w="180"/>
                    <w:bottom w:type="dxa" w:w="0"/>
                    <w:right w:type="dxa" w:w="180"/>
                  </w:tcMar>
                  <w:vAlign w:val="top"/>
                </w:tcPr>
                <w:p>
                  <w:pPr>
                    <w:pStyle w:val="null3"/>
                    <w:numPr>
                      <w:ilvl w:val="0"/>
                      <w:numId w:val="1"/>
                    </w:numPr>
                  </w:pPr>
                  <w:r>
                    <w:rPr>
                      <w:rFonts w:ascii="仿宋_GB2312" w:hAnsi="仿宋_GB2312" w:cs="仿宋_GB2312" w:eastAsia="仿宋_GB2312"/>
                      <w:sz w:val="21"/>
                      <w:b/>
                    </w:rPr>
                    <w:t>一、项目背景</w:t>
                  </w:r>
                </w:p>
                <w:p>
                  <w:pPr>
                    <w:pStyle w:val="null3"/>
                    <w:ind w:firstLine="420"/>
                  </w:pPr>
                  <w:r>
                    <w:rPr>
                      <w:rFonts w:ascii="仿宋_GB2312" w:hAnsi="仿宋_GB2312" w:cs="仿宋_GB2312" w:eastAsia="仿宋_GB2312"/>
                      <w:sz w:val="21"/>
                    </w:rPr>
                    <w:t>随着陕西省工业化进程加速，涉水企业违法排放问题已成为制约水环境质量改善的突出矛盾。传统执法模式依赖人工巡查和单一监测数据，难以应对隐蔽式偷排、间歇性排放等复杂违法行为，导致溯源效率低、证据链不完整。</w:t>
                  </w:r>
                </w:p>
                <w:p>
                  <w:pPr>
                    <w:pStyle w:val="null3"/>
                    <w:ind w:firstLine="420"/>
                  </w:pPr>
                  <w:r>
                    <w:rPr>
                      <w:rFonts w:ascii="仿宋_GB2312" w:hAnsi="仿宋_GB2312" w:cs="仿宋_GB2312" w:eastAsia="仿宋_GB2312"/>
                      <w:sz w:val="21"/>
                    </w:rPr>
                    <w:t>落实《生态环境保护综合行政执法装备标准化建设指导标准》2024版精神，完善补齐涉水执法准备，为陕南陕北长江流域、黄河流域重要河段地市配置执法检测装备，工欲利其事必先利其器，为涉水生态环境监管执法提供信息化保障。</w:t>
                  </w:r>
                </w:p>
                <w:p>
                  <w:pPr>
                    <w:pStyle w:val="null3"/>
                    <w:ind w:firstLine="420"/>
                  </w:pPr>
                  <w:r>
                    <w:rPr>
                      <w:rFonts w:ascii="仿宋_GB2312" w:hAnsi="仿宋_GB2312" w:cs="仿宋_GB2312" w:eastAsia="仿宋_GB2312"/>
                      <w:sz w:val="21"/>
                    </w:rPr>
                    <w:t>强化前端物联网感知系统建设，按照涉水执法设备申领，执法内容匹配监测因子应用建模，对执法数据治理、数据清洗后进行关联耦合，与移动执法系统互拉形成“智能感知-平台分析-精准执法”的闭环应用。</w:t>
                  </w:r>
                </w:p>
                <w:p>
                  <w:pPr>
                    <w:pStyle w:val="null3"/>
                    <w:ind w:firstLine="420"/>
                  </w:pPr>
                  <w:r>
                    <w:rPr>
                      <w:rFonts w:ascii="仿宋_GB2312" w:hAnsi="仿宋_GB2312" w:cs="仿宋_GB2312" w:eastAsia="仿宋_GB2312"/>
                      <w:sz w:val="21"/>
                    </w:rPr>
                    <w:t>通过目前建设的涉气物联装备移动执法管理系统，增加涉水污染源执法装备管理模块，把目前常用的涉水移动执法装备无人机、便携式水质多参数分析仪、便携式水质快速检测仪；水质重金属快速检测仪；管道探测仪、手持式水质光谱快速分析仪等前端移动执法设备信息，通过IOT链接，结合特征污染物水质荧光溯源等辅助信息、弥补污染源在线监测数据单一性，形成“预警-溯源-应急/执法”联动新机制，提升水环境保护工作的水平和效率，全面助力改善水环境质量，实现环境效益、经济效益和社会效益多赢。</w:t>
                  </w:r>
                </w:p>
                <w:p>
                  <w:pPr>
                    <w:pStyle w:val="null3"/>
                    <w:ind w:firstLine="420"/>
                  </w:pPr>
                  <w:r>
                    <w:rPr>
                      <w:rFonts w:ascii="仿宋_GB2312" w:hAnsi="仿宋_GB2312" w:cs="仿宋_GB2312" w:eastAsia="仿宋_GB2312"/>
                      <w:sz w:val="21"/>
                    </w:rPr>
                    <w:t>通过数据融合与分析，实现对流域内涉水污染源的精细化管控，通过强化感知数据汇聚接入，不断增强执法信息化实战能力</w:t>
                  </w:r>
                  <w:r>
                    <w:rPr>
                      <w:rFonts w:ascii="仿宋_GB2312" w:hAnsi="仿宋_GB2312" w:cs="仿宋_GB2312" w:eastAsia="仿宋_GB2312"/>
                      <w:sz w:val="21"/>
                    </w:rPr>
                    <w:t>，构建一个覆盖更全、协同更畅、智慧程度更高的生态环境执法体系。</w:t>
                  </w:r>
                </w:p>
                <w:p>
                  <w:pPr>
                    <w:pStyle w:val="null3"/>
                    <w:numPr>
                      <w:ilvl w:val="0"/>
                      <w:numId w:val="1"/>
                    </w:numPr>
                  </w:pPr>
                  <w:r>
                    <w:rPr>
                      <w:rFonts w:ascii="仿宋_GB2312" w:hAnsi="仿宋_GB2312" w:cs="仿宋_GB2312" w:eastAsia="仿宋_GB2312"/>
                      <w:sz w:val="21"/>
                      <w:b/>
                    </w:rPr>
                    <w:t>二、</w:t>
                  </w:r>
                  <w:r>
                    <w:rPr>
                      <w:rFonts w:ascii="仿宋_GB2312" w:hAnsi="仿宋_GB2312" w:cs="仿宋_GB2312" w:eastAsia="仿宋_GB2312"/>
                      <w:sz w:val="21"/>
                      <w:b/>
                    </w:rPr>
                    <w:t>采购要求</w:t>
                  </w:r>
                </w:p>
                <w:p>
                  <w:pPr>
                    <w:pStyle w:val="null3"/>
                  </w:pPr>
                  <w:r>
                    <w:rPr>
                      <w:rFonts w:ascii="仿宋_GB2312" w:hAnsi="仿宋_GB2312" w:cs="仿宋_GB2312" w:eastAsia="仿宋_GB2312"/>
                      <w:sz w:val="21"/>
                      <w:b/>
                    </w:rPr>
                    <w:t>1.</w:t>
                  </w:r>
                  <w:r>
                    <w:rPr>
                      <w:rFonts w:ascii="仿宋_GB2312" w:hAnsi="仿宋_GB2312" w:cs="仿宋_GB2312" w:eastAsia="仿宋_GB2312"/>
                      <w:sz w:val="21"/>
                      <w:b/>
                    </w:rPr>
                    <w:t>采购清单</w:t>
                  </w:r>
                </w:p>
                <w:tbl>
                  <w:tblPr>
                    <w:tblBorders>
                      <w:top w:val="none" w:color="000000" w:sz="4"/>
                      <w:left w:val="none" w:color="000000" w:sz="4"/>
                      <w:bottom w:val="none" w:color="000000" w:sz="4"/>
                      <w:right w:val="none" w:color="000000" w:sz="4"/>
                      <w:insideH w:val="none"/>
                      <w:insideV w:val="none"/>
                    </w:tblBorders>
                  </w:tblPr>
                  <w:tblGrid>
                    <w:gridCol w:w="358"/>
                    <w:gridCol w:w="978"/>
                    <w:gridCol w:w="215"/>
                    <w:gridCol w:w="310"/>
                    <w:gridCol w:w="453"/>
                  </w:tblGrid>
                  <w:tr>
                    <w:tc>
                      <w:tcPr>
                        <w:tcW w:type="dxa" w:w="3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序号</w:t>
                        </w:r>
                      </w:p>
                    </w:tc>
                    <w:tc>
                      <w:tcPr>
                        <w:tcW w:type="dxa" w:w="9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名称</w:t>
                        </w:r>
                      </w:p>
                    </w:tc>
                    <w:tc>
                      <w:tcPr>
                        <w:tcW w:type="dxa" w:w="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数量</w:t>
                        </w:r>
                      </w:p>
                    </w:tc>
                    <w:tc>
                      <w:tcPr>
                        <w:tcW w:type="dxa" w:w="3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单位</w:t>
                        </w:r>
                      </w:p>
                    </w:tc>
                    <w:tc>
                      <w:tcPr>
                        <w:tcW w:type="dxa" w:w="4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备注</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1</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b/>
                          </w:rPr>
                          <w:t>涉水污染源执法装备物联管理系统</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1</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套</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2</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b/>
                          </w:rPr>
                          <w:t>涉水污染源执法数据融合应用</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1</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套</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3</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1"/>
                            <w:b/>
                          </w:rPr>
                          <w:t>陕西主要流域生态环境执法专题图</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1</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套</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bl>
                <w:p>
                  <w:pPr>
                    <w:pStyle w:val="null3"/>
                  </w:pPr>
                  <w:r>
                    <w:rPr>
                      <w:rFonts w:ascii="仿宋_GB2312" w:hAnsi="仿宋_GB2312" w:cs="仿宋_GB2312" w:eastAsia="仿宋_GB2312"/>
                      <w:sz w:val="21"/>
                      <w:b/>
                    </w:rPr>
                    <w:t>2.</w:t>
                  </w:r>
                  <w:r>
                    <w:rPr>
                      <w:rFonts w:ascii="仿宋_GB2312" w:hAnsi="仿宋_GB2312" w:cs="仿宋_GB2312" w:eastAsia="仿宋_GB2312"/>
                      <w:sz w:val="21"/>
                      <w:b/>
                    </w:rPr>
                    <w:t>技术要求</w:t>
                  </w:r>
                </w:p>
                <w:p>
                  <w:pPr>
                    <w:pStyle w:val="null3"/>
                    <w:ind w:firstLine="420"/>
                  </w:pPr>
                  <w:r>
                    <w:rPr>
                      <w:rFonts w:ascii="仿宋_GB2312" w:hAnsi="仿宋_GB2312" w:cs="仿宋_GB2312" w:eastAsia="仿宋_GB2312"/>
                      <w:sz w:val="21"/>
                    </w:rPr>
                    <w:t>系统采用前后端完全分离模式及微服务架构，前端开发框架为Vue.js，后端以SpringBoot构建，符合SOA（面向服务的体系结构）设计原则，确保系统灵活性、可扩展性及可维护性。</w:t>
                  </w:r>
                </w:p>
                <w:p>
                  <w:pPr>
                    <w:pStyle w:val="null3"/>
                    <w:ind w:firstLine="420"/>
                  </w:pPr>
                  <w:r>
                    <w:rPr>
                      <w:rFonts w:ascii="仿宋_GB2312" w:hAnsi="仿宋_GB2312" w:cs="仿宋_GB2312" w:eastAsia="仿宋_GB2312"/>
                      <w:sz w:val="21"/>
                    </w:rPr>
                    <w:t>系统需遵循国家及行业相关技术标准规范，确保数据格式、接口标准统一，可与现有生态环境相关系统无缝对接。</w:t>
                  </w:r>
                </w:p>
                <w:p>
                  <w:pPr>
                    <w:pStyle w:val="null3"/>
                    <w:ind w:firstLine="420"/>
                  </w:pPr>
                  <w:r>
                    <w:rPr>
                      <w:rFonts w:ascii="仿宋_GB2312" w:hAnsi="仿宋_GB2312" w:cs="仿宋_GB2312" w:eastAsia="仿宋_GB2312"/>
                      <w:sz w:val="21"/>
                    </w:rPr>
                    <w:t>系统依托陕西生态环境执法总队现有IOT平台及ARM架构服务器，软件（操作系统、数据库、中间件）选用信创目录产品，满足全省政务系统替代要求。</w:t>
                  </w:r>
                </w:p>
                <w:p>
                  <w:pPr>
                    <w:pStyle w:val="null3"/>
                    <w:ind w:firstLine="422"/>
                  </w:pPr>
                  <w:r>
                    <w:rPr>
                      <w:rFonts w:ascii="仿宋_GB2312" w:hAnsi="仿宋_GB2312" w:cs="仿宋_GB2312" w:eastAsia="仿宋_GB2312"/>
                      <w:sz w:val="21"/>
                      <w:b/>
                    </w:rPr>
                    <w:t>2.1</w:t>
                  </w:r>
                  <w:r>
                    <w:rPr>
                      <w:rFonts w:ascii="仿宋_GB2312" w:hAnsi="仿宋_GB2312" w:cs="仿宋_GB2312" w:eastAsia="仿宋_GB2312"/>
                      <w:sz w:val="21"/>
                      <w:b/>
                    </w:rPr>
                    <w:t>涉水污染源执法装备物联管理系统</w:t>
                  </w:r>
                </w:p>
                <w:p>
                  <w:pPr>
                    <w:pStyle w:val="null3"/>
                    <w:ind w:firstLine="420"/>
                  </w:pPr>
                  <w:r>
                    <w:rPr>
                      <w:rFonts w:ascii="仿宋_GB2312" w:hAnsi="仿宋_GB2312" w:cs="仿宋_GB2312" w:eastAsia="仿宋_GB2312"/>
                      <w:sz w:val="21"/>
                    </w:rPr>
                    <w:t>需严格遵循《生态环境保护综合行政执法装备标准化建设指导标准（2024 版）》，至少完成 5 类核心涉水执法装备的集成适配，确保装备功能、技术参数符合省级执法监管需求。建立涉水污染源装备参数库，设备协议集成，多协议集成。所有装备需具备唯一设备编码，支持与后续IOT平台的身份绑定与数据交互。基于北斗授时IOT协议及非IOT标通讯协议集成，调试，应用场景匹配集成建模，开发多个设备应用场景，智能执法建模，多参数污染指纹图谱，涉污企业水指纹库参数匹配。</w:t>
                  </w:r>
                </w:p>
                <w:p>
                  <w:pPr>
                    <w:pStyle w:val="null3"/>
                    <w:ind w:firstLine="422"/>
                  </w:pPr>
                  <w:r>
                    <w:rPr>
                      <w:rFonts w:ascii="仿宋_GB2312" w:hAnsi="仿宋_GB2312" w:cs="仿宋_GB2312" w:eastAsia="仿宋_GB2312"/>
                      <w:sz w:val="21"/>
                      <w:b/>
                    </w:rPr>
                    <w:t>2.1.1</w:t>
                  </w:r>
                  <w:r>
                    <w:rPr>
                      <w:rFonts w:ascii="仿宋_GB2312" w:hAnsi="仿宋_GB2312" w:cs="仿宋_GB2312" w:eastAsia="仿宋_GB2312"/>
                      <w:sz w:val="21"/>
                      <w:b/>
                    </w:rPr>
                    <w:t>执法装备集成</w:t>
                  </w:r>
                </w:p>
                <w:p>
                  <w:pPr>
                    <w:pStyle w:val="null3"/>
                    <w:ind w:firstLine="420"/>
                  </w:pPr>
                  <w:r>
                    <w:rPr>
                      <w:rFonts w:ascii="仿宋_GB2312" w:hAnsi="仿宋_GB2312" w:cs="仿宋_GB2312" w:eastAsia="仿宋_GB2312"/>
                      <w:sz w:val="21"/>
                    </w:rPr>
                    <w:t>需严格遵循《生态环境保护综合行政执法装备标准化建设指导标准（2024 版）》，至少完成 5 类核心涉水执法装备的集成适配，确保装备功能、技术参数符合省级执法监管需求。所有装备需具备唯一设备编码，支持与后续物联平台的身份绑定与数据交互，且优先选用信创目录内产品，符合国产化适配要求。</w:t>
                  </w:r>
                </w:p>
                <w:p>
                  <w:pPr>
                    <w:pStyle w:val="null3"/>
                    <w:ind w:firstLine="422"/>
                  </w:pPr>
                  <w:r>
                    <w:rPr>
                      <w:rFonts w:ascii="仿宋_GB2312" w:hAnsi="仿宋_GB2312" w:cs="仿宋_GB2312" w:eastAsia="仿宋_GB2312"/>
                      <w:sz w:val="21"/>
                      <w:b/>
                    </w:rPr>
                    <w:t>2.1.2</w:t>
                  </w:r>
                  <w:r>
                    <w:rPr>
                      <w:rFonts w:ascii="仿宋_GB2312" w:hAnsi="仿宋_GB2312" w:cs="仿宋_GB2312" w:eastAsia="仿宋_GB2312"/>
                      <w:sz w:val="21"/>
                      <w:b/>
                    </w:rPr>
                    <w:t>装备参数库建设</w:t>
                  </w:r>
                </w:p>
                <w:p>
                  <w:pPr>
                    <w:pStyle w:val="null3"/>
                    <w:ind w:firstLine="420"/>
                  </w:pPr>
                  <w:r>
                    <w:rPr>
                      <w:rFonts w:ascii="仿宋_GB2312" w:hAnsi="仿宋_GB2312" w:cs="仿宋_GB2312" w:eastAsia="仿宋_GB2312"/>
                      <w:sz w:val="21"/>
                    </w:rPr>
                    <w:t>需构建标准化的涉水污染源执法装备参数库，采用 “监测因子 + 设备阈值 + 执法场景” 建模逻辑，确保库内数据可支撑执法业务精准匹配，基础信息需与装备实物参数一致，监测因子关联需覆盖装备所有检测项，涉水执法支持装备与执法任务智能匹配。</w:t>
                  </w:r>
                </w:p>
                <w:p>
                  <w:pPr>
                    <w:pStyle w:val="null3"/>
                    <w:ind w:firstLine="422"/>
                  </w:pPr>
                  <w:r>
                    <w:rPr>
                      <w:rFonts w:ascii="仿宋_GB2312" w:hAnsi="仿宋_GB2312" w:cs="仿宋_GB2312" w:eastAsia="仿宋_GB2312"/>
                      <w:sz w:val="21"/>
                      <w:b/>
                    </w:rPr>
                    <w:t>2.1.3</w:t>
                  </w:r>
                  <w:r>
                    <w:rPr>
                      <w:rFonts w:ascii="仿宋_GB2312" w:hAnsi="仿宋_GB2312" w:cs="仿宋_GB2312" w:eastAsia="仿宋_GB2312"/>
                      <w:sz w:val="21"/>
                      <w:b/>
                    </w:rPr>
                    <w:t>通讯协议集成开发</w:t>
                  </w:r>
                </w:p>
                <w:p>
                  <w:pPr>
                    <w:pStyle w:val="null3"/>
                    <w:ind w:firstLine="420"/>
                  </w:pPr>
                  <w:r>
                    <w:rPr>
                      <w:rFonts w:ascii="仿宋_GB2312" w:hAnsi="仿宋_GB2312" w:cs="仿宋_GB2312" w:eastAsia="仿宋_GB2312"/>
                      <w:sz w:val="21"/>
                    </w:rPr>
                    <w:t>需完成多类型通讯协议的集成开发，确保涉水执法装备与IOT平台稳定互联，同时满足数据传输安全性与兼容性要求。需覆盖北斗授时 IOT 协议（MQTT (S)、LwM2M）及非 IOT 行业标准协议。需针对每类集成装备开展协议兼容性测试，确保装备数据采集实时性。</w:t>
                  </w:r>
                </w:p>
                <w:p>
                  <w:pPr>
                    <w:pStyle w:val="null3"/>
                    <w:ind w:firstLine="422"/>
                  </w:pPr>
                  <w:r>
                    <w:rPr>
                      <w:rFonts w:ascii="仿宋_GB2312" w:hAnsi="仿宋_GB2312" w:cs="仿宋_GB2312" w:eastAsia="仿宋_GB2312"/>
                      <w:sz w:val="21"/>
                      <w:b/>
                    </w:rPr>
                    <w:t>2.1.4</w:t>
                  </w:r>
                  <w:r>
                    <w:rPr>
                      <w:rFonts w:ascii="仿宋_GB2312" w:hAnsi="仿宋_GB2312" w:cs="仿宋_GB2312" w:eastAsia="仿宋_GB2312"/>
                      <w:sz w:val="21"/>
                      <w:b/>
                    </w:rPr>
                    <w:t>应用场景匹配集成</w:t>
                  </w:r>
                </w:p>
                <w:p>
                  <w:pPr>
                    <w:pStyle w:val="null3"/>
                    <w:ind w:firstLine="420"/>
                  </w:pPr>
                  <w:r>
                    <w:rPr>
                      <w:rFonts w:ascii="仿宋_GB2312" w:hAnsi="仿宋_GB2312" w:cs="仿宋_GB2312" w:eastAsia="仿宋_GB2312"/>
                      <w:sz w:val="21"/>
                    </w:rPr>
                    <w:t>需基于执法装备能力与业务需求，开发并集成实战化应用场景，实现 “装备 - 数据 - 业务” 深度联动。建立基于执法任务生成后，涉水执法设备设备模型分析库，涉水执法企业场景融合、企业主要监测因子、企业实时数据、历史监测数据、执法监测数据等多源数据融合任务链条，每个场景需具备独立的功能模块，且场景触发后数据联动实时响应。</w:t>
                  </w:r>
                </w:p>
                <w:p>
                  <w:pPr>
                    <w:pStyle w:val="null3"/>
                    <w:ind w:firstLine="422"/>
                  </w:pPr>
                  <w:r>
                    <w:rPr>
                      <w:rFonts w:ascii="仿宋_GB2312" w:hAnsi="仿宋_GB2312" w:cs="仿宋_GB2312" w:eastAsia="仿宋_GB2312"/>
                      <w:sz w:val="21"/>
                      <w:b/>
                    </w:rPr>
                    <w:t>2.1.5</w:t>
                  </w:r>
                  <w:r>
                    <w:rPr>
                      <w:rFonts w:ascii="仿宋_GB2312" w:hAnsi="仿宋_GB2312" w:cs="仿宋_GB2312" w:eastAsia="仿宋_GB2312"/>
                      <w:sz w:val="21"/>
                      <w:b/>
                    </w:rPr>
                    <w:t>核心传感器参数与执法任务关联</w:t>
                  </w:r>
                </w:p>
                <w:p>
                  <w:pPr>
                    <w:pStyle w:val="null3"/>
                    <w:ind w:firstLine="420"/>
                  </w:pPr>
                  <w:r>
                    <w:rPr>
                      <w:rFonts w:ascii="仿宋_GB2312" w:hAnsi="仿宋_GB2312" w:cs="仿宋_GB2312" w:eastAsia="仿宋_GB2312"/>
                      <w:sz w:val="21"/>
                    </w:rPr>
                    <w:t>需建立涉水执法装备核心传感器检测参数、量程精度与执法应用场景关联，基于涉水执法设备参数、监测因子、监测阈值、监测场景强关联模型，支持点击传感器数据查看关联的污染类型分析、历史数据趋势。</w:t>
                  </w:r>
                </w:p>
                <w:p>
                  <w:pPr>
                    <w:pStyle w:val="null3"/>
                    <w:ind w:firstLine="422"/>
                  </w:pPr>
                  <w:r>
                    <w:rPr>
                      <w:rFonts w:ascii="仿宋_GB2312" w:hAnsi="仿宋_GB2312" w:cs="仿宋_GB2312" w:eastAsia="仿宋_GB2312"/>
                      <w:sz w:val="21"/>
                      <w:b/>
                    </w:rPr>
                    <w:t>2.1.6</w:t>
                  </w:r>
                  <w:r>
                    <w:rPr>
                      <w:rFonts w:ascii="仿宋_GB2312" w:hAnsi="仿宋_GB2312" w:cs="仿宋_GB2312" w:eastAsia="仿宋_GB2312"/>
                      <w:sz w:val="21"/>
                      <w:b/>
                    </w:rPr>
                    <w:t>移动执法流程</w:t>
                  </w:r>
                </w:p>
                <w:p>
                  <w:pPr>
                    <w:pStyle w:val="null3"/>
                    <w:ind w:firstLine="420"/>
                  </w:pPr>
                  <w:r>
                    <w:rPr>
                      <w:rFonts w:ascii="仿宋_GB2312" w:hAnsi="仿宋_GB2312" w:cs="仿宋_GB2312" w:eastAsia="仿宋_GB2312"/>
                      <w:sz w:val="21"/>
                    </w:rPr>
                    <w:t>需设计并实现与装备物联平台联动的移动执法流程，覆盖 “装备申领 - 现场执法 - 数据归档” 全环节，确保执法过程高效、可追溯。流程需与陕西省现有移动执法系统无缝对接，避免数据重复录入。</w:t>
                  </w:r>
                </w:p>
                <w:p>
                  <w:pPr>
                    <w:pStyle w:val="null3"/>
                    <w:ind w:firstLine="422"/>
                  </w:pPr>
                  <w:r>
                    <w:rPr>
                      <w:rFonts w:ascii="仿宋_GB2312" w:hAnsi="仿宋_GB2312" w:cs="仿宋_GB2312" w:eastAsia="仿宋_GB2312"/>
                      <w:sz w:val="21"/>
                      <w:b/>
                    </w:rPr>
                    <w:t>2.1.7</w:t>
                  </w:r>
                  <w:r>
                    <w:rPr>
                      <w:rFonts w:ascii="仿宋_GB2312" w:hAnsi="仿宋_GB2312" w:cs="仿宋_GB2312" w:eastAsia="仿宋_GB2312"/>
                      <w:sz w:val="21"/>
                      <w:b/>
                    </w:rPr>
                    <w:t>涉污企业水指纹库参数匹配</w:t>
                  </w:r>
                </w:p>
                <w:p>
                  <w:pPr>
                    <w:pStyle w:val="null3"/>
                    <w:ind w:firstLine="420"/>
                  </w:pPr>
                  <w:r>
                    <w:rPr>
                      <w:rFonts w:ascii="仿宋_GB2312" w:hAnsi="仿宋_GB2312" w:cs="仿宋_GB2312" w:eastAsia="仿宋_GB2312"/>
                      <w:sz w:val="21"/>
                    </w:rPr>
                    <w:t>集成特征参数的，实现与企业排污数据的精准匹配，为污染溯源提供支撑。污染源水质指纹数据库与污染源企业排放因子进行数据耦合关联，为现场执法提供辅助决策支持。</w:t>
                  </w:r>
                </w:p>
                <w:p>
                  <w:pPr>
                    <w:pStyle w:val="null3"/>
                    <w:ind w:firstLine="422"/>
                  </w:pPr>
                  <w:r>
                    <w:rPr>
                      <w:rFonts w:ascii="仿宋_GB2312" w:hAnsi="仿宋_GB2312" w:cs="仿宋_GB2312" w:eastAsia="仿宋_GB2312"/>
                      <w:sz w:val="21"/>
                      <w:b/>
                    </w:rPr>
                    <w:t>2.1.8</w:t>
                  </w:r>
                  <w:r>
                    <w:rPr>
                      <w:rFonts w:ascii="仿宋_GB2312" w:hAnsi="仿宋_GB2312" w:cs="仿宋_GB2312" w:eastAsia="仿宋_GB2312"/>
                      <w:sz w:val="21"/>
                      <w:b/>
                    </w:rPr>
                    <w:t>数据关联耦合</w:t>
                  </w:r>
                </w:p>
                <w:p>
                  <w:pPr>
                    <w:pStyle w:val="null3"/>
                    <w:ind w:firstLine="420"/>
                  </w:pPr>
                  <w:r>
                    <w:rPr>
                      <w:rFonts w:ascii="仿宋_GB2312" w:hAnsi="仿宋_GB2312" w:cs="仿宋_GB2312" w:eastAsia="仿宋_GB2312"/>
                      <w:sz w:val="21"/>
                    </w:rPr>
                    <w:t>需实现涉水执法装备数据与多源业务数据的关联耦合，以关联企业排污许可数据、装备检测数据与在线监测数据、涉污企业水指纹库等多源数据融合，打破数据孤岛，为执法决策提供全方位数据支撑。</w:t>
                  </w:r>
                </w:p>
                <w:p>
                  <w:pPr>
                    <w:pStyle w:val="null3"/>
                    <w:ind w:firstLine="422"/>
                  </w:pPr>
                  <w:r>
                    <w:rPr>
                      <w:rFonts w:ascii="仿宋_GB2312" w:hAnsi="仿宋_GB2312" w:cs="仿宋_GB2312" w:eastAsia="仿宋_GB2312"/>
                      <w:sz w:val="21"/>
                      <w:b/>
                    </w:rPr>
                    <w:t>2.1.9</w:t>
                  </w:r>
                  <w:r>
                    <w:rPr>
                      <w:rFonts w:ascii="仿宋_GB2312" w:hAnsi="仿宋_GB2312" w:cs="仿宋_GB2312" w:eastAsia="仿宋_GB2312"/>
                      <w:sz w:val="21"/>
                      <w:b/>
                    </w:rPr>
                    <w:t>执法过程匹配推送</w:t>
                  </w:r>
                </w:p>
                <w:p>
                  <w:pPr>
                    <w:pStyle w:val="null3"/>
                    <w:ind w:firstLine="420"/>
                  </w:pPr>
                  <w:r>
                    <w:rPr>
                      <w:rFonts w:ascii="仿宋_GB2312" w:hAnsi="仿宋_GB2312" w:cs="仿宋_GB2312" w:eastAsia="仿宋_GB2312"/>
                      <w:sz w:val="21"/>
                    </w:rPr>
                    <w:t>需实现基于数据关联结果的执法过程智能匹配与信息推送，确保执法任务精准派发、执法资源高效调配。与移动执法数据实时互拉交互、执法过程实时跟踪、设备数据与执法人实时交互，实现执法事件数据闭环，并需包含执法任务单、关联数据、执法建议、历史记录、执法结果等。支持执法任务事前规划、事中指引及事后评价。</w:t>
                  </w:r>
                </w:p>
                <w:p>
                  <w:pPr>
                    <w:pStyle w:val="null3"/>
                    <w:ind w:firstLine="422"/>
                  </w:pPr>
                  <w:r>
                    <w:rPr>
                      <w:rFonts w:ascii="仿宋_GB2312" w:hAnsi="仿宋_GB2312" w:cs="仿宋_GB2312" w:eastAsia="仿宋_GB2312"/>
                      <w:sz w:val="21"/>
                      <w:b/>
                    </w:rPr>
                    <w:t>2.1.10</w:t>
                  </w:r>
                  <w:r>
                    <w:rPr>
                      <w:rFonts w:ascii="仿宋_GB2312" w:hAnsi="仿宋_GB2312" w:cs="仿宋_GB2312" w:eastAsia="仿宋_GB2312"/>
                      <w:sz w:val="21"/>
                      <w:b/>
                    </w:rPr>
                    <w:t>密码服务平台</w:t>
                  </w:r>
                </w:p>
                <w:p>
                  <w:pPr>
                    <w:pStyle w:val="null3"/>
                    <w:ind w:firstLine="420"/>
                  </w:pPr>
                  <w:r>
                    <w:rPr>
                      <w:rFonts w:ascii="仿宋_GB2312" w:hAnsi="仿宋_GB2312" w:cs="仿宋_GB2312" w:eastAsia="仿宋_GB2312"/>
                      <w:sz w:val="21"/>
                    </w:rPr>
                    <w:t>系统按照《信息安全技术密码应用基本要求》（GB/T 39786-2021）和《政务信息系统密码应用要求》，密码服务平台要求，满足国密统一密服平台对重要数据加密传输、重要数据库数据库加密、存储加密等的保障体系要求。</w:t>
                  </w:r>
                </w:p>
                <w:p>
                  <w:pPr>
                    <w:pStyle w:val="null3"/>
                    <w:ind w:firstLine="422"/>
                  </w:pPr>
                  <w:r>
                    <w:rPr>
                      <w:rFonts w:ascii="仿宋_GB2312" w:hAnsi="仿宋_GB2312" w:cs="仿宋_GB2312" w:eastAsia="仿宋_GB2312"/>
                      <w:sz w:val="21"/>
                      <w:b/>
                    </w:rPr>
                    <w:t>2.1.11</w:t>
                  </w:r>
                  <w:r>
                    <w:rPr>
                      <w:rFonts w:ascii="仿宋_GB2312" w:hAnsi="仿宋_GB2312" w:cs="仿宋_GB2312" w:eastAsia="仿宋_GB2312"/>
                      <w:sz w:val="21"/>
                      <w:b/>
                    </w:rPr>
                    <w:t>促进装备标准化</w:t>
                  </w:r>
                </w:p>
                <w:p>
                  <w:pPr>
                    <w:pStyle w:val="null3"/>
                    <w:ind w:firstLine="420"/>
                  </w:pPr>
                  <w:r>
                    <w:rPr>
                      <w:rFonts w:ascii="仿宋_GB2312" w:hAnsi="仿宋_GB2312" w:cs="仿宋_GB2312" w:eastAsia="仿宋_GB2312"/>
                      <w:sz w:val="21"/>
                    </w:rPr>
                    <w:t>通过统一平台管理，可以更好地落实执法装备的标准化要求，确保全省范围内执法装备的种类、数量、性能等符合指导标准，推动执法工作的规范化和一致性。</w:t>
                  </w:r>
                </w:p>
                <w:p>
                  <w:pPr>
                    <w:pStyle w:val="null3"/>
                    <w:ind w:firstLine="422"/>
                  </w:pPr>
                  <w:r>
                    <w:rPr>
                      <w:rFonts w:ascii="仿宋_GB2312" w:hAnsi="仿宋_GB2312" w:cs="仿宋_GB2312" w:eastAsia="仿宋_GB2312"/>
                      <w:sz w:val="21"/>
                      <w:b/>
                    </w:rPr>
                    <w:t>2.2</w:t>
                  </w:r>
                  <w:r>
                    <w:rPr>
                      <w:rFonts w:ascii="仿宋_GB2312" w:hAnsi="仿宋_GB2312" w:cs="仿宋_GB2312" w:eastAsia="仿宋_GB2312"/>
                      <w:sz w:val="21"/>
                      <w:b/>
                    </w:rPr>
                    <w:t>涉水污染源执法数据融合及应用</w:t>
                  </w:r>
                </w:p>
                <w:p>
                  <w:pPr>
                    <w:pStyle w:val="null3"/>
                    <w:ind w:firstLine="420"/>
                  </w:pPr>
                  <w:r>
                    <w:rPr>
                      <w:rFonts w:ascii="仿宋_GB2312" w:hAnsi="仿宋_GB2312" w:cs="仿宋_GB2312" w:eastAsia="仿宋_GB2312"/>
                      <w:sz w:val="21"/>
                    </w:rPr>
                    <w:t>通过信息化平台实时推送污染源线索，指导执法人员完成从设备调试、数据采集到证据固化的全链条操作，实现流域水生态、水环境、水资源的动态监管、违法预警与精准执法，保障流域生态环境安全。</w:t>
                  </w:r>
                </w:p>
                <w:p>
                  <w:pPr>
                    <w:pStyle w:val="null3"/>
                    <w:ind w:firstLine="422"/>
                  </w:pPr>
                  <w:r>
                    <w:rPr>
                      <w:rFonts w:ascii="仿宋_GB2312" w:hAnsi="仿宋_GB2312" w:cs="仿宋_GB2312" w:eastAsia="仿宋_GB2312"/>
                      <w:sz w:val="21"/>
                      <w:b/>
                    </w:rPr>
                    <w:t>2.2.1</w:t>
                  </w:r>
                  <w:r>
                    <w:rPr>
                      <w:rFonts w:ascii="仿宋_GB2312" w:hAnsi="仿宋_GB2312" w:cs="仿宋_GB2312" w:eastAsia="仿宋_GB2312"/>
                      <w:sz w:val="21"/>
                      <w:b/>
                    </w:rPr>
                    <w:t>涉水基础信息集成</w:t>
                  </w:r>
                </w:p>
                <w:p>
                  <w:pPr>
                    <w:pStyle w:val="null3"/>
                    <w:ind w:firstLine="420"/>
                  </w:pPr>
                  <w:r>
                    <w:rPr>
                      <w:rFonts w:ascii="仿宋_GB2312" w:hAnsi="仿宋_GB2312" w:cs="仿宋_GB2312" w:eastAsia="仿宋_GB2312"/>
                      <w:sz w:val="21"/>
                    </w:rPr>
                    <w:t>集成流域水信息化成果，为陕西生态环境涉水事件执法提供数据服务支撑。按照陕西省主要河流，集成一河一策成果，一断一策、一口一策等主要河流流域信息。</w:t>
                  </w:r>
                </w:p>
                <w:p>
                  <w:pPr>
                    <w:pStyle w:val="null3"/>
                    <w:ind w:firstLine="422"/>
                  </w:pPr>
                  <w:r>
                    <w:rPr>
                      <w:rFonts w:ascii="仿宋_GB2312" w:hAnsi="仿宋_GB2312" w:cs="仿宋_GB2312" w:eastAsia="仿宋_GB2312"/>
                      <w:sz w:val="21"/>
                      <w:b/>
                    </w:rPr>
                    <w:t>2.2.2</w:t>
                  </w:r>
                  <w:r>
                    <w:rPr>
                      <w:rFonts w:ascii="仿宋_GB2312" w:hAnsi="仿宋_GB2312" w:cs="仿宋_GB2312" w:eastAsia="仿宋_GB2312"/>
                      <w:sz w:val="21"/>
                      <w:b/>
                    </w:rPr>
                    <w:t>智慧河长</w:t>
                  </w:r>
                </w:p>
                <w:p>
                  <w:pPr>
                    <w:pStyle w:val="null3"/>
                    <w:ind w:firstLine="420"/>
                  </w:pPr>
                  <w:r>
                    <w:rPr>
                      <w:rFonts w:ascii="仿宋_GB2312" w:hAnsi="仿宋_GB2312" w:cs="仿宋_GB2312" w:eastAsia="仿宋_GB2312"/>
                      <w:sz w:val="21"/>
                    </w:rPr>
                    <w:t>河长信息和网格化信息共享入库，实时数据匹配清洗，关联大数据仓库数据拓扑，完成大数据级别多空间运用，系统可以按照行政区域或河流流域，能够对河流水质达标率进行统计，并且点击条河流数据集成、数据管理。实现河长与环境执法涉水事项综合应用。</w:t>
                  </w:r>
                </w:p>
                <w:p>
                  <w:pPr>
                    <w:pStyle w:val="null3"/>
                    <w:ind w:firstLine="422"/>
                  </w:pPr>
                  <w:r>
                    <w:rPr>
                      <w:rFonts w:ascii="仿宋_GB2312" w:hAnsi="仿宋_GB2312" w:cs="仿宋_GB2312" w:eastAsia="仿宋_GB2312"/>
                      <w:sz w:val="21"/>
                      <w:b/>
                    </w:rPr>
                    <w:t>2.2.3</w:t>
                  </w:r>
                  <w:r>
                    <w:rPr>
                      <w:rFonts w:ascii="仿宋_GB2312" w:hAnsi="仿宋_GB2312" w:cs="仿宋_GB2312" w:eastAsia="仿宋_GB2312"/>
                      <w:sz w:val="21"/>
                      <w:b/>
                    </w:rPr>
                    <w:t>涉水数据融合应用</w:t>
                  </w:r>
                </w:p>
                <w:p>
                  <w:pPr>
                    <w:pStyle w:val="null3"/>
                    <w:ind w:firstLine="422"/>
                  </w:pPr>
                  <w:r>
                    <w:rPr>
                      <w:rFonts w:ascii="仿宋_GB2312" w:hAnsi="仿宋_GB2312" w:cs="仿宋_GB2312" w:eastAsia="仿宋_GB2312"/>
                      <w:sz w:val="21"/>
                      <w:b/>
                    </w:rPr>
                    <w:t>2.2.3.1</w:t>
                  </w:r>
                  <w:r>
                    <w:rPr>
                      <w:rFonts w:ascii="仿宋_GB2312" w:hAnsi="仿宋_GB2312" w:cs="仿宋_GB2312" w:eastAsia="仿宋_GB2312"/>
                      <w:sz w:val="21"/>
                      <w:b/>
                    </w:rPr>
                    <w:t>多源数据采集</w:t>
                  </w:r>
                </w:p>
                <w:p>
                  <w:pPr>
                    <w:pStyle w:val="null3"/>
                    <w:ind w:firstLine="420"/>
                  </w:pPr>
                  <w:r>
                    <w:rPr>
                      <w:rFonts w:ascii="仿宋_GB2312" w:hAnsi="仿宋_GB2312" w:cs="仿宋_GB2312" w:eastAsia="仿宋_GB2312"/>
                      <w:sz w:val="21"/>
                    </w:rPr>
                    <w:t>通过IOT平台及多源通讯协议，对涉水监管数据通过高分辨率卫星遥感流域地表覆盖变化、排污口热力图，无人机巡查隐蔽污染源、物联网传感器：水质（COD/氨氮等）、水文、气象分钟级传输进行数据采集。建立通讯中心，数据进入数据中台进行治理。</w:t>
                  </w:r>
                </w:p>
                <w:p>
                  <w:pPr>
                    <w:pStyle w:val="null3"/>
                    <w:ind w:firstLine="422"/>
                  </w:pPr>
                  <w:r>
                    <w:rPr>
                      <w:rFonts w:ascii="仿宋_GB2312" w:hAnsi="仿宋_GB2312" w:cs="仿宋_GB2312" w:eastAsia="仿宋_GB2312"/>
                      <w:sz w:val="21"/>
                      <w:b/>
                    </w:rPr>
                    <w:t>2.2.3.2</w:t>
                  </w:r>
                  <w:r>
                    <w:rPr>
                      <w:rFonts w:ascii="仿宋_GB2312" w:hAnsi="仿宋_GB2312" w:cs="仿宋_GB2312" w:eastAsia="仿宋_GB2312"/>
                      <w:sz w:val="21"/>
                      <w:b/>
                    </w:rPr>
                    <w:t>数据中台</w:t>
                  </w:r>
                </w:p>
                <w:p>
                  <w:pPr>
                    <w:pStyle w:val="null3"/>
                    <w:ind w:firstLine="420"/>
                  </w:pPr>
                  <w:r>
                    <w:rPr>
                      <w:rFonts w:ascii="仿宋_GB2312" w:hAnsi="仿宋_GB2312" w:cs="仿宋_GB2312" w:eastAsia="仿宋_GB2312"/>
                      <w:sz w:val="21"/>
                    </w:rPr>
                    <w:t>对传感器数据过滤、清洗去重、数据融合、数据脱敏、格式转换等。融合数据支持对清洗任务执行状态的实时监控，直观查看任务的开始时间、运行进度、当前阶段、已处理数据量、待处理数量、运行耗时等关键信息。</w:t>
                  </w:r>
                </w:p>
                <w:p>
                  <w:pPr>
                    <w:pStyle w:val="null3"/>
                    <w:ind w:firstLine="422"/>
                  </w:pPr>
                  <w:r>
                    <w:rPr>
                      <w:rFonts w:ascii="仿宋_GB2312" w:hAnsi="仿宋_GB2312" w:cs="仿宋_GB2312" w:eastAsia="仿宋_GB2312"/>
                      <w:sz w:val="21"/>
                      <w:b/>
                    </w:rPr>
                    <w:t>2.2.3.3</w:t>
                  </w:r>
                  <w:r>
                    <w:rPr>
                      <w:rFonts w:ascii="仿宋_GB2312" w:hAnsi="仿宋_GB2312" w:cs="仿宋_GB2312" w:eastAsia="仿宋_GB2312"/>
                      <w:sz w:val="21"/>
                      <w:b/>
                    </w:rPr>
                    <w:t>数据治理</w:t>
                  </w:r>
                </w:p>
                <w:p>
                  <w:pPr>
                    <w:pStyle w:val="null3"/>
                    <w:ind w:firstLine="420"/>
                  </w:pPr>
                  <w:r>
                    <w:rPr>
                      <w:rFonts w:ascii="仿宋_GB2312" w:hAnsi="仿宋_GB2312" w:cs="仿宋_GB2312" w:eastAsia="仿宋_GB2312"/>
                      <w:sz w:val="21"/>
                    </w:rPr>
                    <w:t>确保数据的准确性、完整性、一致性和及时性，通过监控、评估及修复数据问题支撑业务决策。包括元数据治理、主数据治理、数据安全管理、数据生命周期管理等。</w:t>
                  </w:r>
                </w:p>
                <w:p>
                  <w:pPr>
                    <w:pStyle w:val="null3"/>
                    <w:ind w:firstLine="422"/>
                  </w:pPr>
                  <w:r>
                    <w:rPr>
                      <w:rFonts w:ascii="仿宋_GB2312" w:hAnsi="仿宋_GB2312" w:cs="仿宋_GB2312" w:eastAsia="仿宋_GB2312"/>
                      <w:sz w:val="21"/>
                      <w:b/>
                    </w:rPr>
                    <w:t>2.2.3.4</w:t>
                  </w:r>
                  <w:r>
                    <w:rPr>
                      <w:rFonts w:ascii="仿宋_GB2312" w:hAnsi="仿宋_GB2312" w:cs="仿宋_GB2312" w:eastAsia="仿宋_GB2312"/>
                      <w:sz w:val="21"/>
                      <w:b/>
                    </w:rPr>
                    <w:t>执法闭环流程管理</w:t>
                  </w:r>
                </w:p>
                <w:p>
                  <w:pPr>
                    <w:pStyle w:val="null3"/>
                    <w:ind w:firstLine="420"/>
                  </w:pPr>
                  <w:r>
                    <w:rPr>
                      <w:rFonts w:ascii="仿宋_GB2312" w:hAnsi="仿宋_GB2312" w:cs="仿宋_GB2312" w:eastAsia="仿宋_GB2312"/>
                      <w:sz w:val="21"/>
                    </w:rPr>
                    <w:t>系统实现由线索生成：生成《污染事件报告》（含坐标/时间/证据链）、任务派发：通过与移动执法系统互拉，推动现场执法人员现场处置、执法终端APP引导定位、便携式检测仪自动上传数据、任务结束闭环流程管理。</w:t>
                  </w:r>
                </w:p>
                <w:p>
                  <w:pPr>
                    <w:pStyle w:val="null3"/>
                    <w:ind w:firstLine="422"/>
                  </w:pPr>
                  <w:r>
                    <w:rPr>
                      <w:rFonts w:ascii="仿宋_GB2312" w:hAnsi="仿宋_GB2312" w:cs="仿宋_GB2312" w:eastAsia="仿宋_GB2312"/>
                      <w:sz w:val="21"/>
                      <w:b/>
                    </w:rPr>
                    <w:t>2.2.3.5</w:t>
                  </w:r>
                  <w:r>
                    <w:rPr>
                      <w:rFonts w:ascii="仿宋_GB2312" w:hAnsi="仿宋_GB2312" w:cs="仿宋_GB2312" w:eastAsia="仿宋_GB2312"/>
                      <w:sz w:val="21"/>
                      <w:b/>
                    </w:rPr>
                    <w:t>生成污染溯源报告</w:t>
                  </w:r>
                </w:p>
                <w:p>
                  <w:pPr>
                    <w:pStyle w:val="null3"/>
                    <w:ind w:firstLine="420"/>
                  </w:pPr>
                  <w:r>
                    <w:rPr>
                      <w:rFonts w:ascii="仿宋_GB2312" w:hAnsi="仿宋_GB2312" w:cs="仿宋_GB2312" w:eastAsia="仿宋_GB2312"/>
                      <w:sz w:val="21"/>
                    </w:rPr>
                    <w:t>生成污染源溯源报告，现场检测数据实时比对数据库。自动生成《污染源溯源报告》（含相似度评分）。推送关联企业历史违法记录。实现涉水数据执法监管闭环应用。</w:t>
                  </w:r>
                </w:p>
                <w:p>
                  <w:pPr>
                    <w:pStyle w:val="null3"/>
                    <w:ind w:firstLine="422"/>
                  </w:pPr>
                  <w:r>
                    <w:rPr>
                      <w:rFonts w:ascii="仿宋_GB2312" w:hAnsi="仿宋_GB2312" w:cs="仿宋_GB2312" w:eastAsia="仿宋_GB2312"/>
                      <w:sz w:val="21"/>
                      <w:b/>
                    </w:rPr>
                    <w:t>2.3</w:t>
                  </w:r>
                  <w:r>
                    <w:rPr>
                      <w:rFonts w:ascii="仿宋_GB2312" w:hAnsi="仿宋_GB2312" w:cs="仿宋_GB2312" w:eastAsia="仿宋_GB2312"/>
                      <w:sz w:val="21"/>
                      <w:b/>
                    </w:rPr>
                    <w:t>陕西主要流域生态环境执法专题图</w:t>
                  </w:r>
                </w:p>
                <w:p>
                  <w:pPr>
                    <w:pStyle w:val="null3"/>
                    <w:ind w:firstLine="420"/>
                  </w:pPr>
                  <w:r>
                    <w:rPr>
                      <w:rFonts w:ascii="仿宋_GB2312" w:hAnsi="仿宋_GB2312" w:cs="仿宋_GB2312" w:eastAsia="仿宋_GB2312"/>
                      <w:sz w:val="21"/>
                    </w:rPr>
                    <w:t>水污染具有流动性、扩散性和隐蔽性特征，传统人工巡查或固定监测点难以覆盖全域，易出现监管盲区。建立陕西主要流域生态环境执法专题图，破解传统模式低效性、被动性和碎片化避免“一刀切”执法，以专题图的形式显示,提供直观的和可视化的决策依据，为执法人员迅速提供精准的流域实时数据、场景可视化应用，提高执法效率。</w:t>
                  </w:r>
                </w:p>
                <w:p>
                  <w:pPr>
                    <w:pStyle w:val="null3"/>
                    <w:ind w:firstLine="422"/>
                  </w:pPr>
                  <w:r>
                    <w:rPr>
                      <w:rFonts w:ascii="仿宋_GB2312" w:hAnsi="仿宋_GB2312" w:cs="仿宋_GB2312" w:eastAsia="仿宋_GB2312"/>
                      <w:sz w:val="21"/>
                      <w:b/>
                    </w:rPr>
                    <w:t>2.3.1</w:t>
                  </w:r>
                  <w:r>
                    <w:rPr>
                      <w:rFonts w:ascii="仿宋_GB2312" w:hAnsi="仿宋_GB2312" w:cs="仿宋_GB2312" w:eastAsia="仿宋_GB2312"/>
                      <w:sz w:val="21"/>
                      <w:b/>
                    </w:rPr>
                    <w:t>一河一策主要因素专题</w:t>
                  </w:r>
                </w:p>
                <w:p>
                  <w:pPr>
                    <w:pStyle w:val="null3"/>
                    <w:ind w:firstLine="420"/>
                  </w:pPr>
                  <w:r>
                    <w:rPr>
                      <w:rFonts w:ascii="仿宋_GB2312" w:hAnsi="仿宋_GB2312" w:cs="仿宋_GB2312" w:eastAsia="仿宋_GB2312"/>
                      <w:sz w:val="21"/>
                    </w:rPr>
                    <w:t>按照一河一策主要因素，水系分布（河流、湖泊、水库）、水文监测站点（水位、流量）、污染源企业信息、水质监测数据等。这些元素需要在地图上以不同的图层或符号表示。</w:t>
                  </w:r>
                </w:p>
                <w:p>
                  <w:pPr>
                    <w:pStyle w:val="null3"/>
                    <w:ind w:firstLine="422"/>
                  </w:pPr>
                  <w:r>
                    <w:rPr>
                      <w:rFonts w:ascii="仿宋_GB2312" w:hAnsi="仿宋_GB2312" w:cs="仿宋_GB2312" w:eastAsia="仿宋_GB2312"/>
                      <w:sz w:val="21"/>
                      <w:b/>
                    </w:rPr>
                    <w:t>2.3.2</w:t>
                  </w:r>
                  <w:r>
                    <w:rPr>
                      <w:rFonts w:ascii="仿宋_GB2312" w:hAnsi="仿宋_GB2312" w:cs="仿宋_GB2312" w:eastAsia="仿宋_GB2312"/>
                      <w:sz w:val="21"/>
                      <w:b/>
                    </w:rPr>
                    <w:t>一策一图</w:t>
                  </w:r>
                </w:p>
                <w:p>
                  <w:pPr>
                    <w:pStyle w:val="null3"/>
                    <w:ind w:firstLine="420"/>
                  </w:pPr>
                  <w:r>
                    <w:rPr>
                      <w:rFonts w:ascii="仿宋_GB2312" w:hAnsi="仿宋_GB2312" w:cs="仿宋_GB2312" w:eastAsia="仿宋_GB2312"/>
                      <w:sz w:val="21"/>
                    </w:rPr>
                    <w:t>构建“一断一策、一河一策、一厂一策、一口一策、一源一策”五类专题子图层，实现 “一策对应一图、图数联动”。</w:t>
                  </w:r>
                </w:p>
                <w:p>
                  <w:pPr>
                    <w:pStyle w:val="null3"/>
                    <w:ind w:firstLine="422"/>
                  </w:pPr>
                  <w:r>
                    <w:rPr>
                      <w:rFonts w:ascii="仿宋_GB2312" w:hAnsi="仿宋_GB2312" w:cs="仿宋_GB2312" w:eastAsia="仿宋_GB2312"/>
                      <w:sz w:val="21"/>
                      <w:b/>
                    </w:rPr>
                    <w:t>2.3.3</w:t>
                  </w:r>
                  <w:r>
                    <w:rPr>
                      <w:rFonts w:ascii="仿宋_GB2312" w:hAnsi="仿宋_GB2312" w:cs="仿宋_GB2312" w:eastAsia="仿宋_GB2312"/>
                      <w:sz w:val="21"/>
                      <w:b/>
                    </w:rPr>
                    <w:t>执法导航</w:t>
                  </w:r>
                </w:p>
                <w:p>
                  <w:pPr>
                    <w:pStyle w:val="null3"/>
                    <w:ind w:firstLine="420"/>
                  </w:pPr>
                  <w:r>
                    <w:rPr>
                      <w:rFonts w:ascii="仿宋_GB2312" w:hAnsi="仿宋_GB2312" w:cs="仿宋_GB2312" w:eastAsia="仿宋_GB2312"/>
                      <w:sz w:val="21"/>
                    </w:rPr>
                    <w:t>电子信息地图起到了向导作用，现场执法人员采用沿河两岸徒步行走与无人机巡航相结合的方式对河流进行排查，专题图可以按照主要河流实现跨区域协作、专项执法及技术手段（如无人机巡查、在线监测），构建了覆盖主要流域的全方位生态环境执法体系。</w:t>
                  </w:r>
                </w:p>
                <w:p>
                  <w:pPr>
                    <w:pStyle w:val="null3"/>
                    <w:ind w:firstLine="422"/>
                  </w:pPr>
                  <w:r>
                    <w:rPr>
                      <w:rFonts w:ascii="仿宋_GB2312" w:hAnsi="仿宋_GB2312" w:cs="仿宋_GB2312" w:eastAsia="仿宋_GB2312"/>
                      <w:sz w:val="21"/>
                      <w:b/>
                    </w:rPr>
                    <w:t>2.3.4</w:t>
                  </w:r>
                  <w:r>
                    <w:rPr>
                      <w:rFonts w:ascii="仿宋_GB2312" w:hAnsi="仿宋_GB2312" w:cs="仿宋_GB2312" w:eastAsia="仿宋_GB2312"/>
                      <w:sz w:val="21"/>
                      <w:b/>
                    </w:rPr>
                    <w:t>涉水综合数据展示专题图</w:t>
                  </w:r>
                </w:p>
                <w:p>
                  <w:pPr>
                    <w:pStyle w:val="null3"/>
                    <w:ind w:firstLine="420"/>
                  </w:pPr>
                  <w:r>
                    <w:rPr>
                      <w:rFonts w:ascii="仿宋_GB2312" w:hAnsi="仿宋_GB2312" w:cs="仿宋_GB2312" w:eastAsia="仿宋_GB2312"/>
                      <w:sz w:val="21"/>
                    </w:rPr>
                    <w:t>涉水综合数据展示专题图，在电子地图上可以可视化的呈现统计的、快速查询流域周边情况、历史统计数据、同比、环比、执法专题图、污染专题图、设备应用专题图等，流域污染预警预测等相关信息，实现精准定位，海量数据支撑。标注执法装备使用位置，统计装备使用频次，数据需与涉水污染源执法装备实时同步。</w:t>
                  </w:r>
                </w:p>
                <w:p>
                  <w:pPr>
                    <w:pStyle w:val="null3"/>
                    <w:ind w:firstLine="422"/>
                  </w:pPr>
                  <w:r>
                    <w:rPr>
                      <w:rFonts w:ascii="仿宋_GB2312" w:hAnsi="仿宋_GB2312" w:cs="仿宋_GB2312" w:eastAsia="仿宋_GB2312"/>
                      <w:sz w:val="21"/>
                      <w:b/>
                    </w:rPr>
                    <w:t>2.3.5</w:t>
                  </w:r>
                  <w:r>
                    <w:rPr>
                      <w:rFonts w:ascii="仿宋_GB2312" w:hAnsi="仿宋_GB2312" w:cs="仿宋_GB2312" w:eastAsia="仿宋_GB2312"/>
                      <w:sz w:val="21"/>
                      <w:b/>
                    </w:rPr>
                    <w:t>叠加一张图</w:t>
                  </w:r>
                </w:p>
                <w:p>
                  <w:pPr>
                    <w:pStyle w:val="null3"/>
                    <w:ind w:firstLine="420"/>
                  </w:pPr>
                  <w:r>
                    <w:rPr>
                      <w:rFonts w:ascii="仿宋_GB2312" w:hAnsi="仿宋_GB2312" w:cs="仿宋_GB2312" w:eastAsia="仿宋_GB2312"/>
                      <w:sz w:val="21"/>
                    </w:rPr>
                    <w:t>在GIS上展示涉水各类报警信息、黑臭水体信息、河流等级展示、选择不同的流域级别，将对应的数据在地图中进行展示，点击地图中具体的流域面数据，可以通过GIS空间计算将此流域中所包含的水源地、断面、水质自动站、涉水企业等要在地图中筛选出来。</w:t>
                  </w:r>
                </w:p>
                <w:p>
                  <w:pPr>
                    <w:pStyle w:val="null3"/>
                    <w:ind w:firstLine="420"/>
                  </w:pPr>
                  <w:r>
                    <w:rPr>
                      <w:rFonts w:ascii="仿宋_GB2312" w:hAnsi="仿宋_GB2312" w:cs="仿宋_GB2312" w:eastAsia="仿宋_GB2312"/>
                      <w:sz w:val="21"/>
                    </w:rPr>
                    <w:t>一企一档、将水污染企业的空间分布在地图上进行展示，可以通过企业的在线，重点，许可证等类型进行企业筛选，点击地图上的企业点位，可显示企业的模型，可以展示出企业的基本信息，选择企业排口，可以显示企业的排口数据，并将排口数据可以按照一定的格式导出，也可查看企业的执法记录，执行报告、环境投诉等信息的相关情况。</w:t>
                  </w:r>
                </w:p>
                <w:p>
                  <w:pPr>
                    <w:pStyle w:val="null3"/>
                    <w:ind w:firstLine="422"/>
                  </w:pPr>
                  <w:r>
                    <w:rPr>
                      <w:rFonts w:ascii="仿宋_GB2312" w:hAnsi="仿宋_GB2312" w:cs="仿宋_GB2312" w:eastAsia="仿宋_GB2312"/>
                      <w:sz w:val="21"/>
                      <w:b/>
                    </w:rPr>
                    <w:t>2.3.6</w:t>
                  </w:r>
                  <w:r>
                    <w:rPr>
                      <w:rFonts w:ascii="仿宋_GB2312" w:hAnsi="仿宋_GB2312" w:cs="仿宋_GB2312" w:eastAsia="仿宋_GB2312"/>
                      <w:sz w:val="21"/>
                      <w:b/>
                    </w:rPr>
                    <w:t>水环境执法专题图</w:t>
                  </w:r>
                </w:p>
                <w:p>
                  <w:pPr>
                    <w:pStyle w:val="null3"/>
                    <w:ind w:firstLine="420"/>
                  </w:pPr>
                  <w:r>
                    <w:rPr>
                      <w:rFonts w:ascii="仿宋_GB2312" w:hAnsi="仿宋_GB2312" w:cs="仿宋_GB2312" w:eastAsia="仿宋_GB2312"/>
                      <w:sz w:val="21"/>
                    </w:rPr>
                    <w:t>执法一张图主要集成了执法人员的位置、被执法的企业、执法使用设备以及与执法相关的其他关键信息，执法人员路径分布人力图等在地图上进行展示，支持对执法数据进行深入分析和决策支持。</w:t>
                  </w:r>
                </w:p>
                <w:p>
                  <w:pPr>
                    <w:pStyle w:val="null3"/>
                    <w:ind w:firstLine="422"/>
                  </w:pPr>
                  <w:r>
                    <w:rPr>
                      <w:rFonts w:ascii="仿宋_GB2312" w:hAnsi="仿宋_GB2312" w:cs="仿宋_GB2312" w:eastAsia="仿宋_GB2312"/>
                      <w:sz w:val="21"/>
                      <w:b/>
                    </w:rPr>
                    <w:t>2.3.7</w:t>
                  </w:r>
                  <w:r>
                    <w:rPr>
                      <w:rFonts w:ascii="仿宋_GB2312" w:hAnsi="仿宋_GB2312" w:cs="仿宋_GB2312" w:eastAsia="仿宋_GB2312"/>
                      <w:sz w:val="21"/>
                      <w:b/>
                    </w:rPr>
                    <w:t>涉水执法设备专题图</w:t>
                  </w:r>
                </w:p>
                <w:p>
                  <w:pPr>
                    <w:pStyle w:val="null3"/>
                    <w:ind w:firstLine="420"/>
                  </w:pPr>
                  <w:r>
                    <w:rPr>
                      <w:rFonts w:ascii="仿宋_GB2312" w:hAnsi="仿宋_GB2312" w:cs="仿宋_GB2312" w:eastAsia="仿宋_GB2312"/>
                      <w:sz w:val="21"/>
                    </w:rPr>
                    <w:t>涉水执法设备专题图主要对涉水执法设备的存储、数量、位置、移动执法数据轨迹、设备健康状况、使用者信息等在GIS上实现区域性可视化查询，为执法工作人员提供便捷迅速的设备应用信息。</w:t>
                  </w:r>
                </w:p>
                <w:p>
                  <w:pPr>
                    <w:pStyle w:val="null3"/>
                    <w:ind w:firstLine="422"/>
                  </w:pPr>
                  <w:r>
                    <w:rPr>
                      <w:rFonts w:ascii="仿宋_GB2312" w:hAnsi="仿宋_GB2312" w:cs="仿宋_GB2312" w:eastAsia="仿宋_GB2312"/>
                      <w:sz w:val="21"/>
                      <w:b/>
                    </w:rPr>
                    <w:t>2.3.8</w:t>
                  </w:r>
                  <w:r>
                    <w:rPr>
                      <w:rFonts w:ascii="仿宋_GB2312" w:hAnsi="仿宋_GB2312" w:cs="仿宋_GB2312" w:eastAsia="仿宋_GB2312"/>
                      <w:sz w:val="21"/>
                      <w:b/>
                    </w:rPr>
                    <w:t>执法人员履职效能评估模块</w:t>
                  </w:r>
                </w:p>
                <w:p>
                  <w:pPr>
                    <w:pStyle w:val="null3"/>
                    <w:ind w:firstLine="420"/>
                  </w:pPr>
                  <w:r>
                    <w:rPr>
                      <w:rFonts w:ascii="仿宋_GB2312" w:hAnsi="仿宋_GB2312" w:cs="仿宋_GB2312" w:eastAsia="仿宋_GB2312"/>
                      <w:sz w:val="21"/>
                    </w:rPr>
                    <w:t>执法人员履职效能评估模块需包含人员考核达标分析、执法检查足迹展示，支持监管对象在GIS上精准数据采集及物理建模、空间锚点数据采集、室内设施数据采集及多源对象数据采集与建模。</w:t>
                  </w:r>
                </w:p>
                <w:p>
                  <w:pPr>
                    <w:pStyle w:val="null3"/>
                    <w:ind w:firstLine="422"/>
                  </w:pPr>
                  <w:r>
                    <w:rPr>
                      <w:rFonts w:ascii="仿宋_GB2312" w:hAnsi="仿宋_GB2312" w:cs="仿宋_GB2312" w:eastAsia="仿宋_GB2312"/>
                      <w:sz w:val="21"/>
                      <w:b/>
                    </w:rPr>
                    <w:t>3.2.3</w:t>
                  </w:r>
                  <w:r>
                    <w:rPr>
                      <w:rFonts w:ascii="仿宋_GB2312" w:hAnsi="仿宋_GB2312" w:cs="仿宋_GB2312" w:eastAsia="仿宋_GB2312"/>
                      <w:sz w:val="21"/>
                      <w:b/>
                    </w:rPr>
                    <w:t>人员配置要求</w:t>
                  </w:r>
                </w:p>
                <w:p>
                  <w:pPr>
                    <w:pStyle w:val="null3"/>
                    <w:ind w:firstLine="420"/>
                  </w:pPr>
                  <w:r>
                    <w:rPr>
                      <w:rFonts w:ascii="仿宋_GB2312" w:hAnsi="仿宋_GB2312" w:cs="仿宋_GB2312" w:eastAsia="仿宋_GB2312"/>
                      <w:sz w:val="21"/>
                    </w:rPr>
                    <w:t>针对本项目提供明确的项目团队人员。</w:t>
                  </w:r>
                </w:p>
                <w:p>
                  <w:pPr>
                    <w:pStyle w:val="null3"/>
                    <w:ind w:firstLine="422"/>
                  </w:pPr>
                  <w:r>
                    <w:rPr>
                      <w:rFonts w:ascii="仿宋_GB2312" w:hAnsi="仿宋_GB2312" w:cs="仿宋_GB2312" w:eastAsia="仿宋_GB2312"/>
                      <w:sz w:val="21"/>
                      <w:b/>
                    </w:rPr>
                    <w:t>3.2.4</w:t>
                  </w:r>
                  <w:r>
                    <w:rPr>
                      <w:rFonts w:ascii="仿宋_GB2312" w:hAnsi="仿宋_GB2312" w:cs="仿宋_GB2312" w:eastAsia="仿宋_GB2312"/>
                      <w:sz w:val="21"/>
                      <w:b/>
                    </w:rPr>
                    <w:t>其他要求</w:t>
                  </w:r>
                </w:p>
                <w:p>
                  <w:pPr>
                    <w:pStyle w:val="null3"/>
                    <w:ind w:firstLine="420"/>
                  </w:pPr>
                  <w:r>
                    <w:rPr>
                      <w:rFonts w:ascii="仿宋_GB2312" w:hAnsi="仿宋_GB2312" w:cs="仿宋_GB2312" w:eastAsia="仿宋_GB2312"/>
                      <w:sz w:val="21"/>
                    </w:rPr>
                    <w:t>服务范围：满足采购技术要求。</w:t>
                  </w:r>
                </w:p>
                <w:p>
                  <w:pPr>
                    <w:pStyle w:val="null3"/>
                    <w:ind w:firstLine="420"/>
                  </w:pPr>
                  <w:r>
                    <w:rPr>
                      <w:rFonts w:ascii="仿宋_GB2312" w:hAnsi="仿宋_GB2312" w:cs="仿宋_GB2312" w:eastAsia="仿宋_GB2312"/>
                      <w:sz w:val="21"/>
                    </w:rPr>
                    <w:t>服务要求：满足采购技术要求。</w:t>
                  </w:r>
                </w:p>
                <w:p>
                  <w:pPr>
                    <w:pStyle w:val="null3"/>
                    <w:ind w:firstLine="420"/>
                  </w:pPr>
                  <w:r>
                    <w:rPr>
                      <w:rFonts w:ascii="仿宋_GB2312" w:hAnsi="仿宋_GB2312" w:cs="仿宋_GB2312" w:eastAsia="仿宋_GB2312"/>
                      <w:sz w:val="21"/>
                    </w:rPr>
                    <w:t>服务标准：满足国家、省、市相关技术规范要求。</w:t>
                  </w:r>
                </w:p>
                <w:p>
                  <w:pPr>
                    <w:pStyle w:val="null3"/>
                    <w:ind w:firstLine="422"/>
                  </w:pPr>
                  <w:r>
                    <w:rPr>
                      <w:rFonts w:ascii="仿宋_GB2312" w:hAnsi="仿宋_GB2312" w:cs="仿宋_GB2312" w:eastAsia="仿宋_GB2312"/>
                      <w:sz w:val="21"/>
                      <w:b/>
                    </w:rPr>
                    <w:t>3.2.5</w:t>
                  </w:r>
                  <w:r>
                    <w:rPr>
                      <w:rFonts w:ascii="仿宋_GB2312" w:hAnsi="仿宋_GB2312" w:cs="仿宋_GB2312" w:eastAsia="仿宋_GB2312"/>
                      <w:sz w:val="21"/>
                      <w:b/>
                    </w:rPr>
                    <w:t>供应商服务环境说明</w:t>
                  </w:r>
                </w:p>
                <w:p>
                  <w:pPr>
                    <w:pStyle w:val="null3"/>
                    <w:ind w:firstLine="420"/>
                  </w:pPr>
                  <w:r>
                    <w:rPr>
                      <w:rFonts w:ascii="仿宋_GB2312" w:hAnsi="仿宋_GB2312" w:cs="仿宋_GB2312" w:eastAsia="仿宋_GB2312"/>
                      <w:sz w:val="21"/>
                    </w:rPr>
                    <w:t>供应商需自带满足信创环境的系统运行环境。</w:t>
                  </w:r>
                </w:p>
                <w:p>
                  <w:pPr>
                    <w:pStyle w:val="null3"/>
                    <w:ind w:firstLine="420"/>
                  </w:pPr>
                  <w:r>
                    <w:rPr>
                      <w:rFonts w:ascii="仿宋_GB2312" w:hAnsi="仿宋_GB2312" w:cs="仿宋_GB2312" w:eastAsia="仿宋_GB2312"/>
                      <w:sz w:val="21"/>
                    </w:rPr>
                    <w:t>不包含数据治理环境。</w:t>
                  </w:r>
                </w:p>
              </w:tc>
            </w:tr>
          </w:tbl>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标的名称：水质指纹预警溯源监管模块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553"/>
            </w:tblGrid>
            <w:tr>
              <w:tc>
                <w:tcPr>
                  <w:tcW w:type="dxa" w:w="2553"/>
                  <w:tcMar>
                    <w:top w:type="dxa" w:w="0"/>
                    <w:left w:type="dxa" w:w="180"/>
                    <w:bottom w:type="dxa" w:w="0"/>
                    <w:right w:type="dxa" w:w="180"/>
                  </w:tcMar>
                  <w:vAlign w:val="top"/>
                </w:tcPr>
                <w:p>
                  <w:pPr>
                    <w:pStyle w:val="null3"/>
                    <w:numPr>
                      <w:ilvl w:val="0"/>
                      <w:numId w:val="1"/>
                    </w:numPr>
                  </w:pPr>
                  <w:r>
                    <w:rPr>
                      <w:rFonts w:ascii="仿宋_GB2312" w:hAnsi="仿宋_GB2312" w:cs="仿宋_GB2312" w:eastAsia="仿宋_GB2312"/>
                      <w:sz w:val="21"/>
                      <w:b/>
                    </w:rPr>
                    <w:t>一、项目概述</w:t>
                  </w:r>
                </w:p>
                <w:p>
                  <w:pPr>
                    <w:pStyle w:val="null3"/>
                    <w:ind w:firstLine="420"/>
                    <w:jc w:val="both"/>
                  </w:pPr>
                  <w:r>
                    <w:rPr>
                      <w:rFonts w:ascii="仿宋_GB2312" w:hAnsi="仿宋_GB2312" w:cs="仿宋_GB2312" w:eastAsia="仿宋_GB2312"/>
                      <w:sz w:val="21"/>
                    </w:rPr>
                    <w:t>为促进黄河流域高质量发展，在黄河干流，白洛河支流，渭河支流，石川河等流域范围内的重点涉水企业建成污染源水质指纹数据库。本项目拟融合水质指纹技术，建设水污染预警溯源监管系统，进一步完善区域水环境监测网络，开展污染事件的智能预警与溯源工作。通过精细化识别工业企业超标排放、偷排漏排等违法行为，系统可准确追踪主要污染来源及迁移路径，及时预警并保障水源地水质安全，从而强化水环境监管体系，提升污染防控的科学性和时效性。结合陕西省生态环境执法实际，省生态环境执法总队将在既有信息化建设成果基础上，推动执法智能监管能力升级，构建重点涉水企业违法排放及水质溯源统筹管控模块，与陕西省生态环境监管执法</w:t>
                  </w:r>
                  <w:r>
                    <w:rPr>
                      <w:rFonts w:ascii="仿宋_GB2312" w:hAnsi="仿宋_GB2312" w:cs="仿宋_GB2312" w:eastAsia="仿宋_GB2312"/>
                      <w:sz w:val="21"/>
                    </w:rPr>
                    <w:t>“</w:t>
                  </w:r>
                  <w:r>
                    <w:rPr>
                      <w:rFonts w:ascii="仿宋_GB2312" w:hAnsi="仿宋_GB2312" w:cs="仿宋_GB2312" w:eastAsia="仿宋_GB2312"/>
                      <w:sz w:val="21"/>
                    </w:rPr>
                    <w:t>锚点</w:t>
                  </w:r>
                  <w:r>
                    <w:rPr>
                      <w:rFonts w:ascii="仿宋_GB2312" w:hAnsi="仿宋_GB2312" w:cs="仿宋_GB2312" w:eastAsia="仿宋_GB2312"/>
                      <w:sz w:val="21"/>
                    </w:rPr>
                    <w:t>”</w:t>
                  </w:r>
                  <w:r>
                    <w:rPr>
                      <w:rFonts w:ascii="仿宋_GB2312" w:hAnsi="仿宋_GB2312" w:cs="仿宋_GB2312" w:eastAsia="仿宋_GB2312"/>
                      <w:sz w:val="21"/>
                    </w:rPr>
                    <w:t>体系三层次生命体空间模型对象，以及监管执法物联网（</w:t>
                  </w:r>
                  <w:r>
                    <w:rPr>
                      <w:rFonts w:ascii="仿宋_GB2312" w:hAnsi="仿宋_GB2312" w:cs="仿宋_GB2312" w:eastAsia="仿宋_GB2312"/>
                      <w:sz w:val="21"/>
                    </w:rPr>
                    <w:t>IOT</w:t>
                  </w:r>
                  <w:r>
                    <w:rPr>
                      <w:rFonts w:ascii="仿宋_GB2312" w:hAnsi="仿宋_GB2312" w:cs="仿宋_GB2312" w:eastAsia="仿宋_GB2312"/>
                      <w:sz w:val="21"/>
                    </w:rPr>
                    <w:t>）实现实时精准融合映射，监管执法过程实时跟踪；辅助支撑国家</w:t>
                  </w:r>
                  <w:r>
                    <w:rPr>
                      <w:rFonts w:ascii="仿宋_GB2312" w:hAnsi="仿宋_GB2312" w:cs="仿宋_GB2312" w:eastAsia="仿宋_GB2312"/>
                      <w:sz w:val="21"/>
                    </w:rPr>
                    <w:t>-</w:t>
                  </w:r>
                  <w:r>
                    <w:rPr>
                      <w:rFonts w:ascii="仿宋_GB2312" w:hAnsi="仿宋_GB2312" w:cs="仿宋_GB2312" w:eastAsia="仿宋_GB2312"/>
                      <w:sz w:val="21"/>
                    </w:rPr>
                    <w:t>省</w:t>
                  </w:r>
                  <w:r>
                    <w:rPr>
                      <w:rFonts w:ascii="仿宋_GB2312" w:hAnsi="仿宋_GB2312" w:cs="仿宋_GB2312" w:eastAsia="仿宋_GB2312"/>
                      <w:sz w:val="21"/>
                    </w:rPr>
                    <w:t>-</w:t>
                  </w:r>
                  <w:r>
                    <w:rPr>
                      <w:rFonts w:ascii="仿宋_GB2312" w:hAnsi="仿宋_GB2312" w:cs="仿宋_GB2312" w:eastAsia="仿宋_GB2312"/>
                      <w:sz w:val="21"/>
                    </w:rPr>
                    <w:t>市</w:t>
                  </w:r>
                  <w:r>
                    <w:rPr>
                      <w:rFonts w:ascii="仿宋_GB2312" w:hAnsi="仿宋_GB2312" w:cs="仿宋_GB2312" w:eastAsia="仿宋_GB2312"/>
                      <w:sz w:val="21"/>
                    </w:rPr>
                    <w:t>-</w:t>
                  </w:r>
                  <w:r>
                    <w:rPr>
                      <w:rFonts w:ascii="仿宋_GB2312" w:hAnsi="仿宋_GB2312" w:cs="仿宋_GB2312" w:eastAsia="仿宋_GB2312"/>
                      <w:sz w:val="21"/>
                    </w:rPr>
                    <w:t>区（县）四级执法任务、执法人员、执法对象、执法线索、执法装备以双随机及其他复杂场景自动化、结构化抽组聚合，执法任务事前规划、事中指引及事后评价；支持基于</w:t>
                  </w:r>
                  <w:r>
                    <w:rPr>
                      <w:rFonts w:ascii="仿宋_GB2312" w:hAnsi="仿宋_GB2312" w:cs="仿宋_GB2312" w:eastAsia="仿宋_GB2312"/>
                      <w:sz w:val="21"/>
                    </w:rPr>
                    <w:t>“</w:t>
                  </w:r>
                  <w:r>
                    <w:rPr>
                      <w:rFonts w:ascii="仿宋_GB2312" w:hAnsi="仿宋_GB2312" w:cs="仿宋_GB2312" w:eastAsia="仿宋_GB2312"/>
                      <w:sz w:val="21"/>
                    </w:rPr>
                    <w:t>锚点</w:t>
                  </w:r>
                  <w:r>
                    <w:rPr>
                      <w:rFonts w:ascii="仿宋_GB2312" w:hAnsi="仿宋_GB2312" w:cs="仿宋_GB2312" w:eastAsia="仿宋_GB2312"/>
                      <w:sz w:val="21"/>
                    </w:rPr>
                    <w:t>”</w:t>
                  </w:r>
                  <w:r>
                    <w:rPr>
                      <w:rFonts w:ascii="仿宋_GB2312" w:hAnsi="仿宋_GB2312" w:cs="仿宋_GB2312" w:eastAsia="仿宋_GB2312"/>
                      <w:sz w:val="21"/>
                    </w:rPr>
                    <w:t>体系的四级穿透式无感稽查。</w:t>
                  </w:r>
                </w:p>
                <w:p>
                  <w:pPr>
                    <w:pStyle w:val="null3"/>
                    <w:numPr>
                      <w:ilvl w:val="0"/>
                      <w:numId w:val="1"/>
                    </w:numPr>
                  </w:pPr>
                  <w:r>
                    <w:rPr>
                      <w:rFonts w:ascii="仿宋_GB2312" w:hAnsi="仿宋_GB2312" w:cs="仿宋_GB2312" w:eastAsia="仿宋_GB2312"/>
                      <w:sz w:val="21"/>
                      <w:b/>
                    </w:rPr>
                    <w:t>二、技术要求</w:t>
                  </w:r>
                </w:p>
                <w:tbl>
                  <w:tblPr>
                    <w:tblBorders>
                      <w:top w:val="none" w:color="000000" w:sz="4"/>
                      <w:left w:val="none" w:color="000000" w:sz="4"/>
                      <w:bottom w:val="none" w:color="000000" w:sz="4"/>
                      <w:right w:val="none" w:color="000000" w:sz="4"/>
                      <w:insideH w:val="none"/>
                      <w:insideV w:val="none"/>
                    </w:tblBorders>
                  </w:tblPr>
                  <w:tblGrid>
                    <w:gridCol w:w="207"/>
                    <w:gridCol w:w="508"/>
                    <w:gridCol w:w="1620"/>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序号</w:t>
                        </w:r>
                      </w:p>
                    </w:tc>
                    <w:tc>
                      <w:tcPr>
                        <w:tcW w:type="dxa" w:w="50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服务内容</w:t>
                        </w:r>
                      </w:p>
                    </w:tc>
                    <w:tc>
                      <w:tcPr>
                        <w:tcW w:type="dxa" w:w="162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技术要求</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水质指纹数据库</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提供水质指纹数据库</w:t>
                        </w:r>
                        <w:r>
                          <w:rPr>
                            <w:rFonts w:ascii="仿宋_GB2312" w:hAnsi="仿宋_GB2312" w:cs="仿宋_GB2312" w:eastAsia="仿宋_GB2312"/>
                            <w:sz w:val="21"/>
                          </w:rPr>
                          <w:t>84</w:t>
                        </w:r>
                        <w:r>
                          <w:rPr>
                            <w:rFonts w:ascii="仿宋_GB2312" w:hAnsi="仿宋_GB2312" w:cs="仿宋_GB2312" w:eastAsia="仿宋_GB2312"/>
                            <w:sz w:val="21"/>
                          </w:rPr>
                          <w:t>套，其中包括污染源水质指纹数据库</w:t>
                        </w:r>
                        <w:r>
                          <w:rPr>
                            <w:rFonts w:ascii="仿宋_GB2312" w:hAnsi="仿宋_GB2312" w:cs="仿宋_GB2312" w:eastAsia="仿宋_GB2312"/>
                            <w:sz w:val="21"/>
                          </w:rPr>
                          <w:t>60</w:t>
                        </w:r>
                        <w:r>
                          <w:rPr>
                            <w:rFonts w:ascii="仿宋_GB2312" w:hAnsi="仿宋_GB2312" w:cs="仿宋_GB2312" w:eastAsia="仿宋_GB2312"/>
                            <w:sz w:val="21"/>
                          </w:rPr>
                          <w:t>套、行业水质指纹数据库</w:t>
                        </w:r>
                        <w:r>
                          <w:rPr>
                            <w:rFonts w:ascii="仿宋_GB2312" w:hAnsi="仿宋_GB2312" w:cs="仿宋_GB2312" w:eastAsia="仿宋_GB2312"/>
                            <w:sz w:val="21"/>
                          </w:rPr>
                          <w:t>24</w:t>
                        </w:r>
                        <w:r>
                          <w:rPr>
                            <w:rFonts w:ascii="仿宋_GB2312" w:hAnsi="仿宋_GB2312" w:cs="仿宋_GB2312" w:eastAsia="仿宋_GB2312"/>
                            <w:sz w:val="21"/>
                          </w:rPr>
                          <w:t>套。数据库的建立包括污染源调研、污染源采样、水质指纹分析测试、水质指纹数据库建库。通过对监管范围污染源实地调研、进行持续时间的水样采集，分析和提取水样的水质指纹，建立重点企业水质指纹数据库。</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、污染源调研：实地调研污染源的生产情况、排污情况及污染源的生产产品种类、生产工艺、生产规模、水处理工艺、排放许可证等，生成调研报告。</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、污染源采样：分别采用自动采样器连续采样以及人工采样两种方式，对每个污染源进行采样。每个污染源样品需在样品采集后的</w:t>
                        </w:r>
                        <w:r>
                          <w:rPr>
                            <w:rFonts w:ascii="仿宋_GB2312" w:hAnsi="仿宋_GB2312" w:cs="仿宋_GB2312" w:eastAsia="仿宋_GB2312"/>
                            <w:sz w:val="21"/>
                          </w:rPr>
                          <w:t>7</w:t>
                        </w:r>
                        <w:r>
                          <w:rPr>
                            <w:rFonts w:ascii="仿宋_GB2312" w:hAnsi="仿宋_GB2312" w:cs="仿宋_GB2312" w:eastAsia="仿宋_GB2312"/>
                            <w:sz w:val="21"/>
                          </w:rPr>
                          <w:t>日内完成测试及水质指纹的提取。</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、分析测试：测试采集样品，并逐步提取和分析污染源典型水质指纹。</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、数据处理及建库：以水质指纹分析方法处理测试数据，建立初版污染源废水水质</w:t>
                        </w:r>
                      </w:p>
                      <w:p>
                        <w:pPr>
                          <w:pStyle w:val="null3"/>
                          <w:jc w:val="both"/>
                        </w:pPr>
                        <w:r>
                          <w:rPr>
                            <w:rFonts w:ascii="仿宋_GB2312" w:hAnsi="仿宋_GB2312" w:cs="仿宋_GB2312" w:eastAsia="仿宋_GB2312"/>
                            <w:sz w:val="21"/>
                          </w:rPr>
                          <w:t>指纹数据库初版数据库自检正确率达</w:t>
                        </w:r>
                        <w:r>
                          <w:rPr>
                            <w:rFonts w:ascii="仿宋_GB2312" w:hAnsi="仿宋_GB2312" w:cs="仿宋_GB2312" w:eastAsia="仿宋_GB2312"/>
                            <w:sz w:val="21"/>
                          </w:rPr>
                          <w:t>90%</w:t>
                        </w:r>
                        <w:r>
                          <w:rPr>
                            <w:rFonts w:ascii="仿宋_GB2312" w:hAnsi="仿宋_GB2312" w:cs="仿宋_GB2312" w:eastAsia="仿宋_GB2312"/>
                            <w:sz w:val="21"/>
                          </w:rPr>
                          <w:t>以上，并提供数据库自检记录。</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、水质指纹数据库的完善和调试：初版数据库安装至水质自动预警溯源仪后，根据调试期的运行情况对数据库进行进一步完善和调试，保证对入库污染源的污染原水识别准确率不小于</w:t>
                        </w:r>
                        <w:r>
                          <w:rPr>
                            <w:rFonts w:ascii="仿宋_GB2312" w:hAnsi="仿宋_GB2312" w:cs="仿宋_GB2312" w:eastAsia="仿宋_GB2312"/>
                            <w:sz w:val="21"/>
                          </w:rPr>
                          <w:t>85%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、水质指纹数据库建立完成后，须嵌入能水质自动预警溯源仪软件分析使用。水质自动预警溯源仪监测结果以该数据库为基础，进行污染排放源的溯源。</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、分析方法为三维荧光水质指纹标准分析方法。</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、该数据库具有可扩展性：该项目所建立的水质指纹数据库具有可扩展性，可支持由乙方专业技术人员进行增加、删除以及更新。</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数据展示模块</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可以展示预警溯源在线站监测到的实时数据。实时数据展示既可以采用表格的方式，也可以采用时间序列图的方式。</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溯源模块</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溯源模块可以对任意在线测试或者手工测试的数据进行水质指纹数据库对比，给出溯源结果及相似度，辅助工作人员判断水质变化情况，判断异常水质指纹类型及结果</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水质指纹对比模块</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水质指纹对比模块可实现多个测试数据的相似度计算，辅助判断水质异常信号的污染路径，判定多个对比数据与待对比数据的相似度，从而在没有数据库支持的情况下快速判断水质异常的来源点位。</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执法任务协同模块与数据共享接口</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数据可支持共享，并与陕西省生态环境监管执法</w:t>
                        </w:r>
                        <w:r>
                          <w:rPr>
                            <w:rFonts w:ascii="仿宋_GB2312" w:hAnsi="仿宋_GB2312" w:cs="仿宋_GB2312" w:eastAsia="仿宋_GB2312"/>
                            <w:sz w:val="21"/>
                          </w:rPr>
                          <w:t>“</w:t>
                        </w:r>
                        <w:r>
                          <w:rPr>
                            <w:rFonts w:ascii="仿宋_GB2312" w:hAnsi="仿宋_GB2312" w:cs="仿宋_GB2312" w:eastAsia="仿宋_GB2312"/>
                            <w:sz w:val="21"/>
                          </w:rPr>
                          <w:t>锚点</w:t>
                        </w:r>
                        <w:r>
                          <w:rPr>
                            <w:rFonts w:ascii="仿宋_GB2312" w:hAnsi="仿宋_GB2312" w:cs="仿宋_GB2312" w:eastAsia="仿宋_GB2312"/>
                            <w:sz w:val="21"/>
                          </w:rPr>
                          <w:t>”</w:t>
                        </w:r>
                        <w:r>
                          <w:rPr>
                            <w:rFonts w:ascii="仿宋_GB2312" w:hAnsi="仿宋_GB2312" w:cs="仿宋_GB2312" w:eastAsia="仿宋_GB2312"/>
                            <w:sz w:val="21"/>
                          </w:rPr>
                          <w:t>体系三层次生命体空间模型对象，以及监管执法物联网（</w:t>
                        </w:r>
                        <w:r>
                          <w:rPr>
                            <w:rFonts w:ascii="仿宋_GB2312" w:hAnsi="仿宋_GB2312" w:cs="仿宋_GB2312" w:eastAsia="仿宋_GB2312"/>
                            <w:sz w:val="21"/>
                          </w:rPr>
                          <w:t>IOT</w:t>
                        </w:r>
                        <w:r>
                          <w:rPr>
                            <w:rFonts w:ascii="仿宋_GB2312" w:hAnsi="仿宋_GB2312" w:cs="仿宋_GB2312" w:eastAsia="仿宋_GB2312"/>
                            <w:sz w:val="21"/>
                          </w:rPr>
                          <w:t>）实现实时精准融合映射，监管执法过程实时跟踪；辅助支撑国家</w:t>
                        </w:r>
                        <w:r>
                          <w:rPr>
                            <w:rFonts w:ascii="仿宋_GB2312" w:hAnsi="仿宋_GB2312" w:cs="仿宋_GB2312" w:eastAsia="仿宋_GB2312"/>
                            <w:sz w:val="21"/>
                          </w:rPr>
                          <w:t>-</w:t>
                        </w:r>
                        <w:r>
                          <w:rPr>
                            <w:rFonts w:ascii="仿宋_GB2312" w:hAnsi="仿宋_GB2312" w:cs="仿宋_GB2312" w:eastAsia="仿宋_GB2312"/>
                            <w:sz w:val="21"/>
                          </w:rPr>
                          <w:t>省</w:t>
                        </w:r>
                        <w:r>
                          <w:rPr>
                            <w:rFonts w:ascii="仿宋_GB2312" w:hAnsi="仿宋_GB2312" w:cs="仿宋_GB2312" w:eastAsia="仿宋_GB2312"/>
                            <w:sz w:val="21"/>
                          </w:rPr>
                          <w:t>-</w:t>
                        </w:r>
                        <w:r>
                          <w:rPr>
                            <w:rFonts w:ascii="仿宋_GB2312" w:hAnsi="仿宋_GB2312" w:cs="仿宋_GB2312" w:eastAsia="仿宋_GB2312"/>
                            <w:sz w:val="21"/>
                          </w:rPr>
                          <w:t>市</w:t>
                        </w:r>
                        <w:r>
                          <w:rPr>
                            <w:rFonts w:ascii="仿宋_GB2312" w:hAnsi="仿宋_GB2312" w:cs="仿宋_GB2312" w:eastAsia="仿宋_GB2312"/>
                            <w:sz w:val="21"/>
                          </w:rPr>
                          <w:t>-</w:t>
                        </w:r>
                        <w:r>
                          <w:rPr>
                            <w:rFonts w:ascii="仿宋_GB2312" w:hAnsi="仿宋_GB2312" w:cs="仿宋_GB2312" w:eastAsia="仿宋_GB2312"/>
                            <w:sz w:val="21"/>
                          </w:rPr>
                          <w:t>区（县）四级执法任务、执法人员、执法对象、执法线索、执法装备以双随机及其他复杂场景自动化、结构化抽组聚合，执法任务事前规划、事中指引及事后评价。</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预警模块</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预警模块：预警模块可实现分级预警。设置预警峰及疑似污染源的预警阈值后，监测数据会根据预警模块的阈值设置发出预警信息。工作人员根据不同等级的预警信息进行相关溯源工作，及时发现并掌握水质变化动态，服务应急处理和污染溯源。</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数据统计模块</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数据统计模块可实现位置条件、污染条件、时间条件和相似度查询等不同维度的数据查询功能，实现对数据的不同维度的统计结果，也可以结合生态局管理要求进行监测数据的统计分析；根据统计分析的结果生成统计报告并导出相关数据，提高工作人员效率。</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站点管理模块</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实现预警溯源在线站的添加、修改及查询等编辑功能，同时支持对站点进行区域划分，区分站点上下游情况，实现水质指纹数据库的分站点管理；还可添加站点负责人和运维人员相关信息、设备相关信息等，实现人站负责，保证站点设备责任落实到人。</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数据审核模块</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针对于目前所测的所有实时数据进行审核，审核通过后的数据进入数据查询统计和报告当中，审核不通过的数据需审核员填写原因。</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污染源管理模块</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污染源管理模块可以实现对污染源的增加、修改、删除、查看等编辑功能。录入的主要的污染源信息包括：污染源名称、经纬度、负责人及联系方式、生产原料、生产产品、生产工艺、产生废水环节、废水处理方式和该污染源的排污许可指标。</w:t>
                        </w:r>
                      </w:p>
                    </w:tc>
                  </w:tr>
                </w:tbl>
                <w:p/>
              </w:tc>
            </w:tr>
          </w:tbl>
          <w:tbl>
            <w:tblPr>
              <w:tblBorders>
                <w:top w:val="single"/>
                <w:left w:val="single"/>
                <w:bottom w:val="single"/>
                <w:right w:val="single"/>
                <w:insideH w:val="single"/>
                <w:insideV w:val="single"/>
              </w:tblBorders>
            </w:tblPr>
            <w:tblGrid>
              <w:gridCol w:w="2553"/>
            </w:tblGrid>
            <w:tr>
              <w:tc>
                <w:tcPr>
                  <w:tcW w:type="dxa" w:w="2553"/>
                  <w:tcMar>
                    <w:top w:type="dxa" w:w="0"/>
                    <w:left w:type="dxa" w:w="180"/>
                    <w:bottom w:type="dxa" w:w="0"/>
                    <w:right w:type="dxa" w:w="180"/>
                  </w:tcMar>
                  <w:vAlign w:val="top"/>
                </w:tcPr>
                <w:p>
                  <w:pPr>
                    <w:pStyle w:val="null3"/>
                  </w:pPr>
                </w:p>
              </w:tc>
            </w:tr>
          </w:tbl>
          <w:p>
            <w:pPr>
              <w:pStyle w:val="null3"/>
            </w:pPr>
            <w:r>
              <w:rPr>
                <w:rFonts w:ascii="仿宋_GB2312" w:hAnsi="仿宋_GB2312" w:cs="仿宋_GB2312" w:eastAsia="仿宋_GB2312"/>
                <w:sz w:val="21"/>
                <w:b/>
              </w:rPr>
              <w:t>供应商应自行配置满足信创相关规范要求的系统运行环境，该环境需随项目实施团队同步入场并完成调试。</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标的名称：涉水基础信息集成应用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553"/>
            </w:tblGrid>
            <w:tr>
              <w:tc>
                <w:tcPr>
                  <w:tcW w:type="dxa" w:w="2553"/>
                  <w:tcMar>
                    <w:top w:type="dxa" w:w="0"/>
                    <w:left w:type="dxa" w:w="180"/>
                    <w:bottom w:type="dxa" w:w="0"/>
                    <w:right w:type="dxa" w:w="180"/>
                  </w:tcMar>
                  <w:vAlign w:val="top"/>
                </w:tcPr>
                <w:p>
                  <w:pPr>
                    <w:pStyle w:val="null3"/>
                  </w:pPr>
                  <w:r>
                    <w:rPr>
                      <w:rFonts w:ascii="仿宋_GB2312" w:hAnsi="仿宋_GB2312" w:cs="仿宋_GB2312" w:eastAsia="仿宋_GB2312"/>
                      <w:sz w:val="21"/>
                    </w:rPr>
                    <w:t>一、技术要求</w:t>
                  </w:r>
                </w:p>
                <w:p>
                  <w:pPr>
                    <w:pStyle w:val="null3"/>
                    <w:ind w:firstLine="420"/>
                  </w:pPr>
                  <w:r>
                    <w:rPr>
                      <w:rFonts w:ascii="仿宋_GB2312" w:hAnsi="仿宋_GB2312" w:cs="仿宋_GB2312" w:eastAsia="仿宋_GB2312"/>
                      <w:sz w:val="21"/>
                    </w:rPr>
                    <w:t>1.1</w:t>
                  </w:r>
                  <w:r>
                    <w:rPr>
                      <w:rFonts w:ascii="仿宋_GB2312" w:hAnsi="仿宋_GB2312" w:cs="仿宋_GB2312" w:eastAsia="仿宋_GB2312"/>
                      <w:sz w:val="21"/>
                    </w:rPr>
                    <w:t>项目背景</w:t>
                  </w:r>
                </w:p>
                <w:p>
                  <w:pPr>
                    <w:pStyle w:val="null3"/>
                    <w:ind w:firstLine="420"/>
                  </w:pPr>
                  <w:r>
                    <w:rPr>
                      <w:rFonts w:ascii="仿宋_GB2312" w:hAnsi="仿宋_GB2312" w:cs="仿宋_GB2312" w:eastAsia="仿宋_GB2312"/>
                      <w:sz w:val="21"/>
                    </w:rPr>
                    <w:t>按照《水污染防治行动计划》、《“十四五”生态环境监测规划》的通知环监测〔2021〕117号、《陕西省碧水保卫战2022年工作方案》、《陕西省汉江丹江流域水污染防治条例》《陕西省渭河流域管理条例》，制定实施了《汉丹江流域（陕西段）重点行业水污染物排放限值》《陕西省黄河流域污水综合排放标准》，《陕西省重点流域水生态环境保护“十四五”补偿实施方案》等要求，对全省涉水污染源进行信息综合采集，通过涉水污染源执法多源数据融合实现执法实时预警与闭环管理，并结合现场执法装备数据录形成完整证据链，实现执法证据链固化。陕西省为进一步落实固定污染源监管执法，基于排污许可证载有数据，将固定污染源的物理重点设施实体确定为“锚点”，进行综合场景高精数据采集与数字建模，形成覆盖企业、生产线（生产单元）、产治排设施的三层空间模型。为进一步支撑多要素多场景执法数字化应用，推动全省执法全程数字化、精准化，确保“锚点”体系执法发挥关键作用，亟需通过涉水执法装备设备管理和移动端智能应用，加强涉水执法监管融合应用，以满足精准监管与高效执法的工作需求。</w:t>
                  </w:r>
                </w:p>
                <w:p>
                  <w:pPr>
                    <w:pStyle w:val="null3"/>
                    <w:ind w:firstLine="420"/>
                  </w:pPr>
                  <w:r>
                    <w:rPr>
                      <w:rFonts w:ascii="仿宋_GB2312" w:hAnsi="仿宋_GB2312" w:cs="仿宋_GB2312" w:eastAsia="仿宋_GB2312"/>
                      <w:sz w:val="21"/>
                    </w:rPr>
                    <w:t>1.2</w:t>
                  </w:r>
                  <w:r>
                    <w:rPr>
                      <w:rFonts w:ascii="仿宋_GB2312" w:hAnsi="仿宋_GB2312" w:cs="仿宋_GB2312" w:eastAsia="仿宋_GB2312"/>
                      <w:sz w:val="21"/>
                    </w:rPr>
                    <w:t>建设目标</w:t>
                  </w:r>
                </w:p>
                <w:p>
                  <w:pPr>
                    <w:pStyle w:val="null3"/>
                    <w:ind w:firstLine="420"/>
                  </w:pPr>
                  <w:r>
                    <w:rPr>
                      <w:rFonts w:ascii="仿宋_GB2312" w:hAnsi="仿宋_GB2312" w:cs="仿宋_GB2312" w:eastAsia="仿宋_GB2312"/>
                      <w:sz w:val="21"/>
                    </w:rPr>
                    <w:t>通过集成涉水污染源执法装备数据、特征污染物水质溯源数据，打造移动端智能应用，为陕西省生态环境涉水执法工作提供业务应用闭环管理。一是针对涉水执法装备设备，实现执法移动端应用集成开发，任务关联，实现水质指纹和涉水装备的全要素任务管理；二是在现有“锚点”移动执法系统基础上打造移动端智能应用，将涉水执法装备数据、涉水基础数据、水指纹溯源数据与执法业务全程融合，实现涉水执法闭环管理。</w:t>
                  </w:r>
                </w:p>
                <w:p>
                  <w:pPr>
                    <w:pStyle w:val="null3"/>
                    <w:ind w:firstLine="420"/>
                  </w:pPr>
                  <w:r>
                    <w:rPr>
                      <w:rFonts w:ascii="仿宋_GB2312" w:hAnsi="仿宋_GB2312" w:cs="仿宋_GB2312" w:eastAsia="仿宋_GB2312"/>
                      <w:sz w:val="21"/>
                    </w:rPr>
                    <w:t>1.3</w:t>
                  </w:r>
                  <w:r>
                    <w:rPr>
                      <w:rFonts w:ascii="仿宋_GB2312" w:hAnsi="仿宋_GB2312" w:cs="仿宋_GB2312" w:eastAsia="仿宋_GB2312"/>
                      <w:sz w:val="21"/>
                    </w:rPr>
                    <w:t>建设内容</w:t>
                  </w:r>
                </w:p>
                <w:p>
                  <w:pPr>
                    <w:pStyle w:val="null3"/>
                    <w:ind w:firstLine="420"/>
                  </w:pPr>
                  <w:r>
                    <w:rPr>
                      <w:rFonts w:ascii="仿宋_GB2312" w:hAnsi="仿宋_GB2312" w:cs="仿宋_GB2312" w:eastAsia="仿宋_GB2312"/>
                      <w:sz w:val="21"/>
                    </w:rPr>
                    <w:t>在现有“锚点”移动执法系统基础上开发基于移动端智能应用，自动读取企业信息、排污信息、执法信息、移动执法装备实时数据，实现精准执法。主要应包括涉水执法装备设备管理和移动端GIS展示两部分内容。</w:t>
                  </w:r>
                </w:p>
                <w:p>
                  <w:pPr>
                    <w:pStyle w:val="null3"/>
                    <w:ind w:firstLine="420"/>
                  </w:pPr>
                  <w:r>
                    <w:rPr>
                      <w:rFonts w:ascii="仿宋_GB2312" w:hAnsi="仿宋_GB2312" w:cs="仿宋_GB2312" w:eastAsia="仿宋_GB2312"/>
                      <w:sz w:val="21"/>
                    </w:rPr>
                    <w:t>1.3.1</w:t>
                  </w:r>
                  <w:r>
                    <w:rPr>
                      <w:rFonts w:ascii="仿宋_GB2312" w:hAnsi="仿宋_GB2312" w:cs="仿宋_GB2312" w:eastAsia="仿宋_GB2312"/>
                      <w:sz w:val="21"/>
                    </w:rPr>
                    <w:t>涉水执法装备设备管理</w:t>
                  </w:r>
                </w:p>
                <w:p>
                  <w:pPr>
                    <w:pStyle w:val="null3"/>
                    <w:ind w:firstLine="420"/>
                  </w:pPr>
                  <w:r>
                    <w:rPr>
                      <w:rFonts w:ascii="仿宋_GB2312" w:hAnsi="仿宋_GB2312" w:cs="仿宋_GB2312" w:eastAsia="仿宋_GB2312"/>
                      <w:sz w:val="21"/>
                    </w:rPr>
                    <w:t>基于全省“锚点”执法体系，在移动端上实现涉水执法装备相关信息管理，包括装备动态调度、装备全生命周期管理、物联数据融合、水质指纹数据库融合、河长制执法监督、监督受理管理系统、督导任务、情况通报、河长协同工作系统、智能通报系统等，满足生态环境监管对涉水执法数据的精准化管理需求。同时依托排污许可证数据，围绕涉水执法监管需求，打造以涉水污染源为核心的标准化执法数据资源集市，为涉水执法数据融合和执法闭环流程提供数据基础。</w:t>
                  </w:r>
                </w:p>
                <w:p>
                  <w:pPr>
                    <w:pStyle w:val="null3"/>
                    <w:ind w:firstLine="420"/>
                  </w:pPr>
                  <w:r>
                    <w:rPr>
                      <w:rFonts w:ascii="仿宋_GB2312" w:hAnsi="仿宋_GB2312" w:cs="仿宋_GB2312" w:eastAsia="仿宋_GB2312"/>
                      <w:sz w:val="21"/>
                    </w:rPr>
                    <w:t>1.3.2</w:t>
                  </w:r>
                  <w:r>
                    <w:rPr>
                      <w:rFonts w:ascii="仿宋_GB2312" w:hAnsi="仿宋_GB2312" w:cs="仿宋_GB2312" w:eastAsia="仿宋_GB2312"/>
                      <w:sz w:val="21"/>
                    </w:rPr>
                    <w:t>移动端GIS展示</w:t>
                  </w:r>
                </w:p>
                <w:p>
                  <w:pPr>
                    <w:pStyle w:val="null3"/>
                    <w:ind w:firstLine="420"/>
                  </w:pPr>
                  <w:r>
                    <w:rPr>
                      <w:rFonts w:ascii="仿宋_GB2312" w:hAnsi="仿宋_GB2312" w:cs="仿宋_GB2312" w:eastAsia="仿宋_GB2312"/>
                      <w:sz w:val="21"/>
                    </w:rPr>
                    <w:t>针对涉水执法监管需求，在现有“锚点”移动执法系统基础上实现GIS信息展示。在移动端上围绕执法任务规划融合、入企扫码规范管理、物联端业务协同管理等方面开展功能提升工作。</w:t>
                  </w:r>
                </w:p>
                <w:p>
                  <w:pPr>
                    <w:pStyle w:val="null3"/>
                    <w:ind w:firstLine="420"/>
                  </w:pPr>
                  <w:r>
                    <w:rPr>
                      <w:rFonts w:ascii="仿宋_GB2312" w:hAnsi="仿宋_GB2312" w:cs="仿宋_GB2312" w:eastAsia="仿宋_GB2312"/>
                      <w:sz w:val="21"/>
                    </w:rPr>
                    <w:t>1</w:t>
                  </w:r>
                  <w:r>
                    <w:rPr>
                      <w:rFonts w:ascii="仿宋_GB2312" w:hAnsi="仿宋_GB2312" w:cs="仿宋_GB2312" w:eastAsia="仿宋_GB2312"/>
                      <w:sz w:val="21"/>
                    </w:rPr>
                    <w:t>、执法任务规划融合</w:t>
                  </w:r>
                </w:p>
                <w:p>
                  <w:pPr>
                    <w:pStyle w:val="null3"/>
                    <w:ind w:firstLine="420"/>
                  </w:pPr>
                  <w:r>
                    <w:rPr>
                      <w:rFonts w:ascii="仿宋_GB2312" w:hAnsi="仿宋_GB2312" w:cs="仿宋_GB2312" w:eastAsia="仿宋_GB2312"/>
                      <w:sz w:val="21"/>
                    </w:rPr>
                    <w:t>执法任务规划融合主要与执法业务流程融合，实现在执法任务规划阶段，实现执法任务统筹闭环和执法任务可视化。</w:t>
                  </w:r>
                </w:p>
                <w:p>
                  <w:pPr>
                    <w:pStyle w:val="null3"/>
                    <w:ind w:firstLine="420"/>
                  </w:pPr>
                  <w:r>
                    <w:rPr>
                      <w:rFonts w:ascii="仿宋_GB2312" w:hAnsi="仿宋_GB2312" w:cs="仿宋_GB2312" w:eastAsia="仿宋_GB2312"/>
                      <w:sz w:val="21"/>
                    </w:rPr>
                    <w:t>（1）执法任务统筹闭环</w:t>
                  </w:r>
                </w:p>
                <w:p>
                  <w:pPr>
                    <w:pStyle w:val="null3"/>
                    <w:ind w:firstLine="420"/>
                  </w:pPr>
                  <w:r>
                    <w:rPr>
                      <w:rFonts w:ascii="仿宋_GB2312" w:hAnsi="仿宋_GB2312" w:cs="仿宋_GB2312" w:eastAsia="仿宋_GB2312"/>
                      <w:sz w:val="21"/>
                    </w:rPr>
                    <w:t>开发并实现执法四级任务统筹与拆解功能，建立与执法端任务的闭环处置机制，保障执法任务的科学规划、高效分配与全流程跟踪管理。</w:t>
                  </w:r>
                </w:p>
                <w:p>
                  <w:pPr>
                    <w:pStyle w:val="null3"/>
                    <w:ind w:firstLine="420"/>
                  </w:pPr>
                  <w:r>
                    <w:rPr>
                      <w:rFonts w:ascii="仿宋_GB2312" w:hAnsi="仿宋_GB2312" w:cs="仿宋_GB2312" w:eastAsia="仿宋_GB2312"/>
                      <w:sz w:val="21"/>
                    </w:rPr>
                    <w:t>（2）执法任务可视化</w:t>
                  </w:r>
                </w:p>
                <w:p>
                  <w:pPr>
                    <w:pStyle w:val="null3"/>
                    <w:ind w:firstLine="420"/>
                  </w:pPr>
                  <w:r>
                    <w:rPr>
                      <w:rFonts w:ascii="仿宋_GB2312" w:hAnsi="仿宋_GB2312" w:cs="仿宋_GB2312" w:eastAsia="仿宋_GB2312"/>
                      <w:sz w:val="21"/>
                    </w:rPr>
                    <w:t>针对年度执法任务开展统筹拆解工作，开发可视化大屏系统，实现执法任务统筹与拆解情况的可视化呈现，为执法管理决策提供数据支撑。</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、入企扫码规范管理</w:t>
                  </w:r>
                </w:p>
                <w:p>
                  <w:pPr>
                    <w:pStyle w:val="null3"/>
                    <w:ind w:firstLine="420"/>
                  </w:pPr>
                  <w:r>
                    <w:rPr>
                      <w:rFonts w:ascii="仿宋_GB2312" w:hAnsi="仿宋_GB2312" w:cs="仿宋_GB2312" w:eastAsia="仿宋_GB2312"/>
                      <w:sz w:val="21"/>
                    </w:rPr>
                    <w:t>规范入企扫码流程，满足入企扫码规范化管理。</w:t>
                  </w:r>
                </w:p>
                <w:p>
                  <w:pPr>
                    <w:pStyle w:val="null3"/>
                    <w:ind w:firstLine="420"/>
                  </w:pPr>
                  <w:r>
                    <w:rPr>
                      <w:rFonts w:ascii="仿宋_GB2312" w:hAnsi="仿宋_GB2312" w:cs="仿宋_GB2312" w:eastAsia="仿宋_GB2312"/>
                      <w:sz w:val="21"/>
                    </w:rPr>
                    <w:t>（1）执法端任务码生成</w:t>
                  </w:r>
                </w:p>
                <w:p>
                  <w:pPr>
                    <w:pStyle w:val="null3"/>
                    <w:ind w:firstLine="420"/>
                  </w:pPr>
                  <w:r>
                    <w:rPr>
                      <w:rFonts w:ascii="仿宋_GB2312" w:hAnsi="仿宋_GB2312" w:cs="仿宋_GB2312" w:eastAsia="仿宋_GB2312"/>
                      <w:sz w:val="21"/>
                    </w:rPr>
                    <w:t>实现在执法端完成执法任务规划后，自动依据执法任务信息生成任务码。执法人员在入企检查前出示该任务码。</w:t>
                  </w:r>
                </w:p>
                <w:p>
                  <w:pPr>
                    <w:pStyle w:val="null3"/>
                    <w:ind w:firstLine="420"/>
                  </w:pPr>
                  <w:r>
                    <w:rPr>
                      <w:rFonts w:ascii="仿宋_GB2312" w:hAnsi="仿宋_GB2312" w:cs="仿宋_GB2312" w:eastAsia="仿宋_GB2312"/>
                      <w:sz w:val="21"/>
                    </w:rPr>
                    <w:t>企业端扫码登记</w:t>
                  </w:r>
                </w:p>
                <w:p>
                  <w:pPr>
                    <w:pStyle w:val="null3"/>
                    <w:ind w:firstLine="420"/>
                  </w:pPr>
                  <w:r>
                    <w:rPr>
                      <w:rFonts w:ascii="仿宋_GB2312" w:hAnsi="仿宋_GB2312" w:cs="仿宋_GB2312" w:eastAsia="仿宋_GB2312"/>
                      <w:sz w:val="21"/>
                    </w:rPr>
                    <w:t>打造企业端基础应用，包括企业基本信息展示、检查任务管理、生产与环保设施信息查询、快捷功能入口及扫码等功能。企业通过企业端“扫码”功能完成入企登记扫码，同时满足企业任务跟踪与扫码业务需求。</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、物联端业务协同管理</w:t>
                  </w:r>
                </w:p>
                <w:p>
                  <w:pPr>
                    <w:pStyle w:val="null3"/>
                    <w:ind w:firstLine="420"/>
                  </w:pPr>
                  <w:r>
                    <w:rPr>
                      <w:rFonts w:ascii="仿宋_GB2312" w:hAnsi="仿宋_GB2312" w:cs="仿宋_GB2312" w:eastAsia="仿宋_GB2312"/>
                      <w:sz w:val="21"/>
                    </w:rPr>
                    <w:t>推进物联端数据对接及涉水执法应用协同，通过物联端与企业端、执法端业务场景的设计开发，完成在执法任务规划、要素规划、开始检查、现场检查、制作笔录等阶段的数据对接与业务协同，确保物联数据在各端之间的有效流转及业务场景落地应用，满足涉水执法监管要求。</w:t>
                  </w:r>
                </w:p>
                <w:p>
                  <w:pPr>
                    <w:pStyle w:val="null3"/>
                    <w:ind w:firstLine="420"/>
                  </w:pPr>
                  <w:r>
                    <w:rPr>
                      <w:rFonts w:ascii="仿宋_GB2312" w:hAnsi="仿宋_GB2312" w:cs="仿宋_GB2312" w:eastAsia="仿宋_GB2312"/>
                      <w:sz w:val="21"/>
                    </w:rPr>
                    <w:t>二、实施及商务要求</w:t>
                  </w:r>
                </w:p>
                <w:p>
                  <w:pPr>
                    <w:pStyle w:val="null3"/>
                    <w:ind w:firstLine="420"/>
                  </w:pPr>
                  <w:r>
                    <w:rPr>
                      <w:rFonts w:ascii="仿宋_GB2312" w:hAnsi="仿宋_GB2312" w:cs="仿宋_GB2312" w:eastAsia="仿宋_GB2312"/>
                      <w:sz w:val="21"/>
                    </w:rPr>
                    <w:t>1.</w:t>
                  </w:r>
                  <w:r>
                    <w:rPr>
                      <w:rFonts w:ascii="仿宋_GB2312" w:hAnsi="仿宋_GB2312" w:cs="仿宋_GB2312" w:eastAsia="仿宋_GB2312"/>
                      <w:sz w:val="21"/>
                    </w:rPr>
                    <w:t>工期要求：2026年2月28日前完成所有升级开发、交付及试运行工作，其中试运行30日。</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质量控制：投标人须对项目实施全过程进行质量管理，规范组织项目实施与文档编制工作，主动配合采购方开展质量控制与监督活动。</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项目团队：投标人应根据采购方要求组建专门项目团队，项目团队分组至少包括指导组、开发组、设计组、项目管理组、运维组。其中指导组至少配备项目总监1名、项目执行经理1名；开发组至少配置开发组长1名；设计组至少配置设计组长1名；项目管理组至少配置项目管理组长1名；运维组至少配置运维组长1名。项目团队成员变更须经采购方书面同意。</w:t>
                  </w:r>
                </w:p>
                <w:p>
                  <w:pPr>
                    <w:pStyle w:val="null3"/>
                    <w:ind w:firstLine="420"/>
                  </w:pPr>
                  <w:r>
                    <w:rPr>
                      <w:rFonts w:ascii="仿宋_GB2312" w:hAnsi="仿宋_GB2312" w:cs="仿宋_GB2312" w:eastAsia="仿宋_GB2312"/>
                      <w:sz w:val="21"/>
                    </w:rPr>
                    <w:t>4.</w:t>
                  </w:r>
                  <w:r>
                    <w:rPr>
                      <w:rFonts w:ascii="仿宋_GB2312" w:hAnsi="仿宋_GB2312" w:cs="仿宋_GB2312" w:eastAsia="仿宋_GB2312"/>
                      <w:sz w:val="21"/>
                    </w:rPr>
                    <w:t>售后服务：系统验收合格后提供1年免费质保服务，建立7×24小时服务响应机制。</w:t>
                  </w:r>
                </w:p>
                <w:p>
                  <w:pPr>
                    <w:pStyle w:val="null3"/>
                    <w:ind w:firstLine="420"/>
                  </w:pPr>
                  <w:r>
                    <w:rPr>
                      <w:rFonts w:ascii="仿宋_GB2312" w:hAnsi="仿宋_GB2312" w:cs="仿宋_GB2312" w:eastAsia="仿宋_GB2312"/>
                      <w:sz w:val="21"/>
                    </w:rPr>
                    <w:t>5.</w:t>
                  </w:r>
                  <w:r>
                    <w:rPr>
                      <w:rFonts w:ascii="仿宋_GB2312" w:hAnsi="仿宋_GB2312" w:cs="仿宋_GB2312" w:eastAsia="仿宋_GB2312"/>
                      <w:sz w:val="21"/>
                    </w:rPr>
                    <w:t>培训要求：应根据实际需求，对用户开展专题培训，确保相关人员熟练掌握系统操作。培训内容包括业务操作与系统维护，且至少组织1次集中培训。</w:t>
                  </w:r>
                </w:p>
                <w:p>
                  <w:pPr>
                    <w:pStyle w:val="null3"/>
                    <w:ind w:firstLine="420"/>
                  </w:pPr>
                  <w:r>
                    <w:rPr>
                      <w:rFonts w:ascii="仿宋_GB2312" w:hAnsi="仿宋_GB2312" w:cs="仿宋_GB2312" w:eastAsia="仿宋_GB2312"/>
                      <w:sz w:val="21"/>
                    </w:rPr>
                    <w:t>6.</w:t>
                  </w:r>
                  <w:r>
                    <w:rPr>
                      <w:rFonts w:ascii="仿宋_GB2312" w:hAnsi="仿宋_GB2312" w:cs="仿宋_GB2312" w:eastAsia="仿宋_GB2312"/>
                      <w:sz w:val="21"/>
                    </w:rPr>
                    <w:t>系统测试：投标人须制定系统整体测试方案，明确测试范围、方法、标准及验收准则。</w:t>
                  </w:r>
                </w:p>
                <w:p>
                  <w:pPr>
                    <w:pStyle w:val="null3"/>
                    <w:ind w:firstLine="420"/>
                  </w:pPr>
                  <w:r>
                    <w:rPr>
                      <w:rFonts w:ascii="仿宋_GB2312" w:hAnsi="仿宋_GB2312" w:cs="仿宋_GB2312" w:eastAsia="仿宋_GB2312"/>
                      <w:sz w:val="21"/>
                    </w:rPr>
                    <w:t>7.</w:t>
                  </w:r>
                  <w:r>
                    <w:rPr>
                      <w:rFonts w:ascii="仿宋_GB2312" w:hAnsi="仿宋_GB2312" w:cs="仿宋_GB2312" w:eastAsia="仿宋_GB2312"/>
                      <w:sz w:val="21"/>
                    </w:rPr>
                    <w:t>项目验收：（1）验收依据：验收依据包括合同约定、相关需求说明书及招标文件等，对项目系统进行全面验收。（2）验收过程：投标人应在验收前制定验收计划，提交采购人。由投标人和采购人共同组建验收小组，负责验收组织工作。验收完成后，提交《验收总结报告》等相关文件。</w:t>
                  </w:r>
                </w:p>
                <w:p>
                  <w:pPr>
                    <w:pStyle w:val="null3"/>
                    <w:ind w:firstLine="420"/>
                  </w:pPr>
                  <w:r>
                    <w:rPr>
                      <w:rFonts w:ascii="仿宋_GB2312" w:hAnsi="仿宋_GB2312" w:cs="仿宋_GB2312" w:eastAsia="仿宋_GB2312"/>
                      <w:sz w:val="21"/>
                    </w:rPr>
                    <w:t>8.</w:t>
                  </w:r>
                  <w:r>
                    <w:rPr>
                      <w:rFonts w:ascii="仿宋_GB2312" w:hAnsi="仿宋_GB2312" w:cs="仿宋_GB2312" w:eastAsia="仿宋_GB2312"/>
                      <w:sz w:val="21"/>
                    </w:rPr>
                    <w:t>知识产权要求：（1）投标人应保证在本项目中使用的任何技术、产品和项目（包括部分使用），不会产生因第三方提出侵犯其专利权、商标权或其它知识产权而引起的法律和经济纠纷，如因专利权、商标权或其它知识产权而引起法律和经济纠纷，由投标人承担所有相关责任。采购方享有本项目实施过程中产生的知识成果及知识产权。（2）投标人如在采购项目实施过程中采用自有或者第三方知识成果的，使用该知识成果后，投标人需提供开发接口和开发手册等技术资料，并承诺提供无限期支持，采购方享有使用权（含采购人委托第三方在该项目后续开发的使用权）。（3）如采用投标人所不拥有的知识产权，本项目金额中已经包括合法使用该知识产权的相关费用。</w:t>
                  </w:r>
                </w:p>
                <w:p>
                  <w:pPr>
                    <w:pStyle w:val="null3"/>
                    <w:ind w:firstLine="420"/>
                  </w:pPr>
                  <w:r>
                    <w:rPr>
                      <w:rFonts w:ascii="仿宋_GB2312" w:hAnsi="仿宋_GB2312" w:cs="仿宋_GB2312" w:eastAsia="仿宋_GB2312"/>
                      <w:sz w:val="21"/>
                    </w:rPr>
                    <w:t>9</w:t>
                  </w:r>
                  <w:r>
                    <w:rPr>
                      <w:rFonts w:ascii="仿宋_GB2312" w:hAnsi="仿宋_GB2312" w:cs="仿宋_GB2312" w:eastAsia="仿宋_GB2312"/>
                      <w:sz w:val="21"/>
                    </w:rPr>
                    <w:t>、保密要求：要求在项目开发、实施以及运维的过程中，严格遵守采购方项目管理有关规定、遵守采购方关于信息安全与保密的规定。要求坚持“涉密不上网，上网不涉密”的原则，不断增强保密意识，不在网络传递、转发保密信息，不泄漏网络架构、信息系统源代码等相关内部信息。</w:t>
                  </w:r>
                </w:p>
                <w:p>
                  <w:pPr>
                    <w:pStyle w:val="null3"/>
                    <w:ind w:firstLine="420"/>
                  </w:pPr>
                  <w:r>
                    <w:rPr>
                      <w:rFonts w:ascii="仿宋_GB2312" w:hAnsi="仿宋_GB2312" w:cs="仿宋_GB2312" w:eastAsia="仿宋_GB2312"/>
                      <w:sz w:val="21"/>
                    </w:rPr>
                    <w:t>10</w:t>
                  </w:r>
                  <w:r>
                    <w:rPr>
                      <w:rFonts w:ascii="仿宋_GB2312" w:hAnsi="仿宋_GB2312" w:cs="仿宋_GB2312" w:eastAsia="仿宋_GB2312"/>
                      <w:sz w:val="21"/>
                    </w:rPr>
                    <w:t>、供应商应自行配置满足信创相关规范要求的系统运行环境，该环境需随项目实施团队同步入场并完成调试。</w:t>
                  </w:r>
                </w:p>
              </w:tc>
            </w:tr>
          </w:tbl>
          <w:p>
            <w:pPr>
              <w:pStyle w:val="null3"/>
            </w:pPr>
            <w:r>
              <w:rPr>
                <w:rFonts w:ascii="仿宋_GB2312" w:hAnsi="仿宋_GB2312" w:cs="仿宋_GB2312" w:eastAsia="仿宋_GB2312"/>
              </w:rPr>
              <w:t xml:space="preserve">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详见服务内容及服务要求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详见服务内容及服务要求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详见服务内容及服务要求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详见服务内容及服务要求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详见服务内容及服务要求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合同签订之日起12个月。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合同签订之日起12个月。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2026年2月28日前完成所有升级开发、交付及试运行工作，其中试运行30日。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陕西省生态环境执法总队指定地点。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陕西省生态环境执法总队指定地点。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陕西省生态环境执法总队指定地点。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结束后，中标人向采购人提交验收申请。2.采购人收到验收申请后组织验收，验收时中标人应无条件予以配合并提供验收所需的全部资料，若中标人不配合或者未按合同要求提供服务的，采购人将拒绝验收。3.验收依据：招标文件、投标文件、合同文本、国内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服务期结束后，中标人向采购人提交验收申请。2.采购人收到验收申请后组织验收，验收时中标人应无条件予以配合并提供验收所需的全部资料，若中标人不配合或者未按合同要求提供服务的，采购人将拒绝验收。3.验收依据：招标文件、投标文件、合同文本、国内相应的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服务期结束后，中标人向采购人提交验收申请。2.采购人收到验收申请后组织验收，验收时中标人应无条件予以配合并提供验收所需的全部资料，若中标人不配合或者未按合同要求提供服务的，采购人将拒绝验收。3.验收依据：招标文件、投标文件、合同文本、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合同签订后，乙方向甲方开具相应额度增值税发票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乙方完成软件开发系统的调研，并形成实质性开发方案，经甲方确认完成后，开具剩余相应额度的增值税发票，并提供合同总金额的5%履约保函（基本户银行保函），</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乙方完成系统部署上线，并通过甲方验收后,提出付款申请，并开具剩余相应额度的增值税发票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合同签订后，乙方向甲方开具相应额度增值税发票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乙方完成软件开发系统的调研，并形成实质性开发方案，经甲方确认完成后，开具剩余相应额度的增值税发票，并提供合同总金额的5%履约保函（基本户银行保函）</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乙方完成系统部署上线，并通过甲方验收后,提出付款申请，并开具剩余相应额度的增值税发票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合同签订后，乙方向甲方开具相应额度增值税发票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乙方完成软件开发系统的调研，并形成实质性开发方案，经甲方确认完成后，开具剩余相应额度的增值税发票，并提供合同总金额的5%履约保函（基本户银行保函）</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乙方完成系统部署上线，并通过甲方验收后,提出付款申请，并开具剩余相应额度的增值税发票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依据招标文件及合同要求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依据招标文件及合同要求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依据招标文件及合同要求</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1、中标单位领取中标通知书时，提交纸质投标文件正本壹份、副本贰份、电子版壹份（U盘壹份注明单位名称）编辑目录和页码，内容和通过电子化交易平台实施的政府采购项目提交的投标文件一致。 纸质投标文件正副本分别胶装。 2、保证金的退还：自中标通知书发出之日起5个工作日内退还未中标人的投标保证金,自采购合同签订之日起5个工作日内退还中标人的投标保证金。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提供2024年11月至今已缴存的至少一个月的社会保障资金缴存单据或社保机构开具的社会保险参保缴费情况证明，依法不需要缴纳社会保障资金的单位应提供相关证明材料。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w:t>
            </w:r>
          </w:p>
        </w:tc>
        <w:tc>
          <w:tcPr>
            <w:tcW w:type="dxa" w:w="3322"/>
          </w:tcPr>
          <w:p>
            <w:pPr>
              <w:pStyle w:val="null3"/>
            </w:pPr>
            <w:r>
              <w:rPr>
                <w:rFonts w:ascii="仿宋_GB2312" w:hAnsi="仿宋_GB2312" w:cs="仿宋_GB2312" w:eastAsia="仿宋_GB2312"/>
              </w:rPr>
              <w:t>本项目专门面向中小企业采购，供应商须为中小企业，并提供声明函。</w:t>
            </w:r>
          </w:p>
        </w:tc>
        <w:tc>
          <w:tcPr>
            <w:tcW w:type="dxa" w:w="1661"/>
          </w:tcPr>
          <w:p>
            <w:pPr>
              <w:pStyle w:val="null3"/>
            </w:pPr>
            <w:r>
              <w:rPr>
                <w:rFonts w:ascii="仿宋_GB2312" w:hAnsi="仿宋_GB2312" w:cs="仿宋_GB2312" w:eastAsia="仿宋_GB2312"/>
              </w:rPr>
              <w:t>中小企业声明函 残疾人福利性单位声明函 投标人资格证明文件.docx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提供2024年11月至今已缴存的至少一个月的社会保障资金缴存单据或社保机构开具的社会保险参保缴费情况证明，依法不需要缴纳社会保障资金的单位应提供相关证明材料。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w:t>
            </w:r>
          </w:p>
        </w:tc>
        <w:tc>
          <w:tcPr>
            <w:tcW w:type="dxa" w:w="3322"/>
          </w:tcPr>
          <w:p>
            <w:pPr>
              <w:pStyle w:val="null3"/>
            </w:pPr>
            <w:r>
              <w:rPr>
                <w:rFonts w:ascii="仿宋_GB2312" w:hAnsi="仿宋_GB2312" w:cs="仿宋_GB2312" w:eastAsia="仿宋_GB2312"/>
              </w:rPr>
              <w:t>本项目专门面向中小企业采购，供应商须为中小企业，并提供声明函。</w:t>
            </w:r>
          </w:p>
        </w:tc>
        <w:tc>
          <w:tcPr>
            <w:tcW w:type="dxa" w:w="1661"/>
          </w:tcPr>
          <w:p>
            <w:pPr>
              <w:pStyle w:val="null3"/>
            </w:pPr>
            <w:r>
              <w:rPr>
                <w:rFonts w:ascii="仿宋_GB2312" w:hAnsi="仿宋_GB2312" w:cs="仿宋_GB2312" w:eastAsia="仿宋_GB2312"/>
              </w:rPr>
              <w:t>中小企业声明函 残疾人福利性单位声明函 投标人资格证明文件.docx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提供2024年11月至今已缴存的至少一个月的社会保障资金缴存单据或社保机构开具的社会保险参保缴费情况证明，依法不需要缴纳社会保障资金的单位应提供相关证明材料。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w:t>
            </w:r>
          </w:p>
        </w:tc>
        <w:tc>
          <w:tcPr>
            <w:tcW w:type="dxa" w:w="3322"/>
          </w:tcPr>
          <w:p>
            <w:pPr>
              <w:pStyle w:val="null3"/>
            </w:pPr>
            <w:r>
              <w:rPr>
                <w:rFonts w:ascii="仿宋_GB2312" w:hAnsi="仿宋_GB2312" w:cs="仿宋_GB2312" w:eastAsia="仿宋_GB2312"/>
              </w:rPr>
              <w:t>本项目专门面向中小企业采购，供应商须为中小企业，并提供声明函。</w:t>
            </w:r>
          </w:p>
        </w:tc>
        <w:tc>
          <w:tcPr>
            <w:tcW w:type="dxa" w:w="1661"/>
          </w:tcPr>
          <w:p>
            <w:pPr>
              <w:pStyle w:val="null3"/>
            </w:pPr>
            <w:r>
              <w:rPr>
                <w:rFonts w:ascii="仿宋_GB2312" w:hAnsi="仿宋_GB2312" w:cs="仿宋_GB2312" w:eastAsia="仿宋_GB2312"/>
              </w:rPr>
              <w:t>中小企业声明函 残疾人福利性单位声明函 投标人资格证明文件.docx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投标方案说明.docx 中小企业声明函 保证金交纳凭证保函.docx 报价表及分项报价表.docx 商务条款响应说明.docx 投标函 残疾人福利性单位声明函 标的清单 投标人资格证明文件.docx 投标文件封面 服务内容及服务邀请应答表.docx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投标方案说明.docx 中小企业声明函 保证金交纳凭证保函.docx 报价表及分项报价表.docx 商务条款响应说明.docx 投标函 残疾人福利性单位声明函 标的清单 投标人资格证明文件.docx 投标文件封面 服务内容及服务邀请应答表.docx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投标方案说明.docx 中小企业声明函 保证金交纳凭证保函.docx 报价表及分项报价表.docx 商务条款响应说明.docx 投标函 残疾人福利性单位声明函 标的清单 投标人资格证明文件.docx 投标文件封面 服务内容及服务邀请应答表.docx 投标人承诺书.docx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投标方案说明.docx 中小企业声明函 保证金交纳凭证保函.docx 报价表及分项报价表.docx 商务条款响应说明.docx 投标函 残疾人福利性单位声明函 标的清单 投标人资格证明文件.docx 投标文件封面 服务内容及服务邀请应答表.docx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投标方案说明.docx 中小企业声明函 保证金交纳凭证保函.docx 报价表及分项报价表.docx 商务条款响应说明.docx 投标函 残疾人福利性单位声明函 标的清单 投标人资格证明文件.docx 投标文件封面 服务内容及服务邀请应答表.docx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投标方案说明.docx 中小企业声明函 保证金交纳凭证保函.docx 报价表及分项报价表.docx 商务条款响应说明.docx 投标函 残疾人福利性单位声明函 标的清单 投标人资格证明文件.docx 投标文件封面 服务内容及服务邀请应答表.docx 投标人承诺书.docx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投标方案说明.docx 中小企业声明函 保证金交纳凭证保函.docx 报价表及分项报价表.docx 商务条款响应说明.docx 投标函 残疾人福利性单位声明函 标的清单 投标人资格证明文件.docx 投标文件封面 服务内容及服务邀请应答表.docx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投标方案说明.docx 中小企业声明函 保证金交纳凭证保函.docx 报价表及分项报价表.docx 商务条款响应说明.docx 投标函 残疾人福利性单位声明函 标的清单 投标人资格证明文件.docx 投标文件封面 服务内容及服务邀请应答表.docx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投标方案说明.docx 中小企业声明函 保证金交纳凭证保函.docx 报价表及分项报价表.docx 商务条款响应说明.docx 投标函 残疾人福利性单位声明函 标的清单 投标人资格证明文件.docx 投标文件封面 服务内容及服务邀请应答表.docx 投标人承诺书.docx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总体设计方案</w:t>
            </w:r>
          </w:p>
        </w:tc>
        <w:tc>
          <w:tcPr>
            <w:tcW w:type="dxa" w:w="2492"/>
          </w:tcPr>
          <w:p>
            <w:pPr>
              <w:pStyle w:val="null3"/>
            </w:pPr>
            <w:r>
              <w:rPr>
                <w:rFonts w:ascii="仿宋_GB2312" w:hAnsi="仿宋_GB2312" w:cs="仿宋_GB2312" w:eastAsia="仿宋_GB2312"/>
              </w:rPr>
              <w:t>投标人针对项目提供总体设计方案，方案至少包括：①项目需求理解、重难点分析；②建设思路和技术路线；③总体架构；④数据架构；⑤部署架构。 评审依据：包含但不限于上述全部内容，且方案详细，清晰有利于项目的得满分(如有缺陷或不足在此分数基础上进行扣分)，以上5项中：(1)每有1项缺失或内容无法满足项目需求的扣3分；(2)每有1项中内容存在缺陷或不足扣2分(缺陷或不足是指内容方案缺少关键点；对同一问题前后表述矛盾；存在逻辑漏洞、科学原理或常识错误；不利于本项日采购目标实现等任意一种情形)；(3)每有1项内容存在部分瑕疵扣1分(瑕疵是指内容基本完备可行，但存在部分不符合项目实际或有细节错误之处，不利于项目)。</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应用设计方案</w:t>
            </w:r>
          </w:p>
        </w:tc>
        <w:tc>
          <w:tcPr>
            <w:tcW w:type="dxa" w:w="2492"/>
          </w:tcPr>
          <w:p>
            <w:pPr>
              <w:pStyle w:val="null3"/>
            </w:pPr>
            <w:r>
              <w:rPr>
                <w:rFonts w:ascii="仿宋_GB2312" w:hAnsi="仿宋_GB2312" w:cs="仿宋_GB2312" w:eastAsia="仿宋_GB2312"/>
              </w:rPr>
              <w:t>投标人针对项目提供应用设计方案，至少包括：①涉水污染源执法装备物联管理系统设计方案；②涉水污染源执法数据融合应用设计方案；③陕西主要流域生态环境执法专题图设计方案。 评审依据：包含但不限于上述全部内容，且方案详细，清晰有利于项目的得满分(如有缺陷或不足在此分数基础上进行扣分)，以上3项中：(1)每有1项缺失或内容无法满足项目需求的扣5分；(2)每有1项中内容存在缺陷或不足扣3分(缺陷或不足是指内容方案缺少关键点；对同一问题前后表述矛盾；存在逻辑漏洞、科学原理或常识错误；不利于本项日采购目标实现等任意一种情形)；(3)每有1项内容存在部分瑕疵扣1分(瑕疵是指内容基本完备可行，但存在部分不符合项目实际或有细节错误之处，不利于项目)。</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交付实施方案</w:t>
            </w:r>
          </w:p>
        </w:tc>
        <w:tc>
          <w:tcPr>
            <w:tcW w:type="dxa" w:w="2492"/>
          </w:tcPr>
          <w:p>
            <w:pPr>
              <w:pStyle w:val="null3"/>
            </w:pPr>
            <w:r>
              <w:rPr>
                <w:rFonts w:ascii="仿宋_GB2312" w:hAnsi="仿宋_GB2312" w:cs="仿宋_GB2312" w:eastAsia="仿宋_GB2312"/>
              </w:rPr>
              <w:t>投标人针对项目提供交付实施方案，至少包括：①测试、上线使用方案；②项目实施进度计划；③应急保障方案；④运行维护服务方案；⑤风险防范及保密措施。 评审依据：包含但不限于上述全部内容，且方案详细，清晰有利于项目的得满分(如有缺陷或不足在此分数基础上进行扣分)，以上5项中：(1)每有1项缺失或内容无法满足项目需求的扣6分；(2)每有1项中内容存在缺陷或不足扣3分(缺陷或不足是指内容方案缺少关键点；对同一问题前后表述矛盾；存在逻辑漏洞、科学原理或常识错误；不利于本项日采购目标实现等任意一种情形)；(3)每有1项内容存在部分瑕疵扣1分(瑕疵是指内容基本完备可行，但存在部分不符合项目实际或有细节错误之处，不利于项目)。</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项目质量管理</w:t>
            </w:r>
          </w:p>
        </w:tc>
        <w:tc>
          <w:tcPr>
            <w:tcW w:type="dxa" w:w="2492"/>
          </w:tcPr>
          <w:p>
            <w:pPr>
              <w:pStyle w:val="null3"/>
            </w:pPr>
            <w:r>
              <w:rPr>
                <w:rFonts w:ascii="仿宋_GB2312" w:hAnsi="仿宋_GB2312" w:cs="仿宋_GB2312" w:eastAsia="仿宋_GB2312"/>
              </w:rPr>
              <w:t>投标人针对项目提供的项目质量保证措施，至少包括：①质量保障措施；②质量检查措施；③质量管理体系建设及证明文件。 评审依据：包含但不限于上述全部内容，且方案详细，清晰有利于项目的得满分。(如有缺陷或不足在此分数基础上进行扣分)，以上3项中：(1)每有1项缺失或内容无法满足项目需求的扣3分；(2每)有1项中内容存在缺陷或不足扣2分(缺陷或不足是指内容方案缺少关键点；对同一问题前后表述矛盾；存在逻辑漏洞、科学原理或常识错误；不利于本项日采购目标实现等任意一种情形)；(3)每有1项内容存在部分瑕疵扣1分(瑕疵是指内容基本完备可行，但存在部分不符合项目实际或有细节错误之处，不利于项目)。</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商务条款响应说明.docx</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投标人提供拟投入本项目团队人员配置清单或人员配置承诺函，其中团队人员： （1）项目负责人具有计算机相关高级工程师职称计3分；中级工程师职称计2分，其他不计分。 （2）团队人员（负责人除外）中具有以下证书： ①信息系统项目管理师； ②网络工程师； ③信息安全工程师； ④系统集成项目管理师； ⑤软件设计师； 每有1个证书得1分，相同证书不重复得分，最高得5分；投标人仅提供团队人员配置承诺函未提供证明材料的，得1分。 注：投标文件应提供上述人员有效职称证或资格证书复印件、投标截止日前六个月任意一个月任意类别社保缴纳证明文件，未提供或提供不全不得分。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服务工作中的常见质量和服务问题进行梳理，投标人可根据自身情况对服务标准、过程管理、质量保证、后续服务、提供驻场技术支持等方面作出有利于本项目开展的承诺，每提供1条有效承诺，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投标人提供2022年1月1日（以合同签订日期为准）至今类似项目业绩，每份业绩计2分，共计10分； 注：投标人需提供相关业绩合同复印件及对应至少一张发票，合同复印件至少包括合同关键页、签订日期与签章页等，缺项或无法辨识的视为无效业绩。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1、投标人针对项目提供整体实施方案，方案至少包括：①调研方案；②采样方案；③分析测试方案；④数据处理；⑤建档和储存。 评审依据：包含但不限于上述全部内容，且方案详细，可行性强，清晰有利于项目的得满分，（单项内容分值为4分）；方案内容每有一处瑕疵扣1分，单项内容分值扣完为止，未提供不得分。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数据模块功能</w:t>
            </w:r>
          </w:p>
        </w:tc>
        <w:tc>
          <w:tcPr>
            <w:tcW w:type="dxa" w:w="2492"/>
          </w:tcPr>
          <w:p>
            <w:pPr>
              <w:pStyle w:val="null3"/>
            </w:pPr>
            <w:r>
              <w:rPr>
                <w:rFonts w:ascii="仿宋_GB2312" w:hAnsi="仿宋_GB2312" w:cs="仿宋_GB2312" w:eastAsia="仿宋_GB2312"/>
              </w:rPr>
              <w:t>投标人针对本项目所需的数据模块提供至少包括：①相关模块功能；②展示效果。 评审依据：包含但不限于上述全部内容，且能保障系统和数据的安全性、扩展性及可展示性，有利于项目的得满分，（单项内容分值为5分）；方案内容每有一处瑕疵扣1分，单项内容分值扣完为止，未提供不得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投标人针对项目提供进度保障措施方案，方案至少包括：①项目进度计划安排；②工作流程节点梳理及进度保障。 评审依据：包含但不限于上述全部内容，且方案详细，可行性强，清晰有利于项目的得满分，（单项内容分值为4分）；方案内容每有一处瑕疵扣1分，单项内容分值扣完为止，未提供不得分。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投标人针对项目提供质量保障措施方案，方案至少包括：①质量保障措施；②质量控制方案；③技术保障。 评审依据：方案包含但不限于上述全部内容，且方案详细，可行性强，清晰有利于项目的得满分，（单项内容分值为4分）；方案内容每有一处瑕疵扣1分，单项内容分值扣完为止，未提供不得分。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投标人提供拟投入本项目团队人员配置清单或人员配置承诺函，其中团队人员： （1）项目团队人员具有环境科学与工程或环境工程专业中级及以上工程师职称计1分，未提供不计分，最高计1分。 （2）投标人针对本项目团队人员配备提供具体方案，方案包含：①人员配备数量及清单；②人员职责与分工；③团队人员专业性、工作经验。 评审依据：项目团队人员配备健全，职责划分清晰，能够满足项目需求计9分（单项内容分值为3分）；方案内容每有一处瑕疵扣1分，单项内容分值扣完为止，未提供不得分。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投标人针对本项目具有完善的售后服务方案，包含至少包含：①服务承诺、服务体系等；②响应时限、解决问题的能力；③紧培训与技术指导方案；④对后期服务的保证措施。 评审依据：包含但不限于上述全部内容，且方案详细，可行性强，清晰有利于项目的得满分，（单项内容分值为2分）；方案内容每有一处瑕疵扣1分，单项内容分值扣完为止，未提供不得分。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研发实力</w:t>
            </w:r>
          </w:p>
        </w:tc>
        <w:tc>
          <w:tcPr>
            <w:tcW w:type="dxa" w:w="2492"/>
          </w:tcPr>
          <w:p>
            <w:pPr>
              <w:pStyle w:val="null3"/>
            </w:pPr>
            <w:r>
              <w:rPr>
                <w:rFonts w:ascii="仿宋_GB2312" w:hAnsi="仿宋_GB2312" w:cs="仿宋_GB2312" w:eastAsia="仿宋_GB2312"/>
              </w:rPr>
              <w:t>（1）投标人或制造商参加水质指纹溯源管理或在线水质荧光指纹污染预警溯源仪相关的团体标准、地方标准、行业标准、国家标准的制定并正式发布。每有一个得2分，最高得4分，不相关不符合的不得分。团体标准、地方标准、行业标准、国家标准等提供完整的标准文件，且标准文件中需体现投标人或制造商为参与单位。 （2）投标人或制造商近3年以来承担过与污染溯源技术及装备相关的省级科技或科研项目，每有一个得2分，最高得2分。需要提供相关证明材料。未提供的不得分。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投标人或制造商具有水污染溯源相关国家发明专利、实用新型专利和软件著作权的，每个得2分，最高6分。 需要提供证书原件扫描件，否则不得分。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投标人或制造商提供近2022年1月1日（以合同签订时间为准）以来的水质指纹数据库建设类似业绩，每提供1个得2分，最高得10分。 注：需提供相关业绩合同复印件，以合同签订日期为准。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服务内容及服务邀请应答表.docx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项目整体需求理解</w:t>
            </w:r>
          </w:p>
        </w:tc>
        <w:tc>
          <w:tcPr>
            <w:tcW w:type="dxa" w:w="2492"/>
          </w:tcPr>
          <w:p>
            <w:pPr>
              <w:pStyle w:val="null3"/>
            </w:pPr>
            <w:r>
              <w:rPr>
                <w:rFonts w:ascii="仿宋_GB2312" w:hAnsi="仿宋_GB2312" w:cs="仿宋_GB2312" w:eastAsia="仿宋_GB2312"/>
              </w:rPr>
              <w:t>投标人针对项目提供整体需求理解，内容至少包括：①项目背景和工作现状；②建设目标；③建设需求分析。 评审依据：对本项目的背景分析全面、准确，项目目标及工作内容贴合项目采购需求的得满分，（单项内容分值为3分）；方案内容每有一处瑕疵扣1分，单项内容分值扣完为止，未提供不得分。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总体设计方案</w:t>
            </w:r>
          </w:p>
        </w:tc>
        <w:tc>
          <w:tcPr>
            <w:tcW w:type="dxa" w:w="2492"/>
          </w:tcPr>
          <w:p>
            <w:pPr>
              <w:pStyle w:val="null3"/>
            </w:pPr>
            <w:r>
              <w:rPr>
                <w:rFonts w:ascii="仿宋_GB2312" w:hAnsi="仿宋_GB2312" w:cs="仿宋_GB2312" w:eastAsia="仿宋_GB2312"/>
              </w:rPr>
              <w:t>投标人针对本项目提供总体设计方案，方案至少包括：①总体架构设计；②数据、网络架构设计；③部署架构设计；④技术路线设计；⑤重难点分析及解决方案。 评审依据：方案符合实际、设计合理、逻辑清晰、技术可行性强的得满分，（单项内容分值为3分）；方案内容每有一处瑕疵扣1分，单项内容分值扣完为止，未提供不得分。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涉水执法装备设备管理</w:t>
            </w:r>
          </w:p>
        </w:tc>
        <w:tc>
          <w:tcPr>
            <w:tcW w:type="dxa" w:w="2492"/>
          </w:tcPr>
          <w:p>
            <w:pPr>
              <w:pStyle w:val="null3"/>
            </w:pPr>
            <w:r>
              <w:rPr>
                <w:rFonts w:ascii="仿宋_GB2312" w:hAnsi="仿宋_GB2312" w:cs="仿宋_GB2312" w:eastAsia="仿宋_GB2312"/>
              </w:rPr>
              <w:t>投标人提供涉水执法装备设备管理方案，方案至少包括：①装备设备数据对接设计方案；②执法数据资源集市设计方案等。 评审依据：整体内容满足采购人需求、对接设计全面详细，可行性强的得满分，（单项内容分值为6分）；方案内容每有一处瑕疵扣1分，单项内容分值扣完为止，未提供不得分。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移动端GIS展示</w:t>
            </w:r>
          </w:p>
        </w:tc>
        <w:tc>
          <w:tcPr>
            <w:tcW w:type="dxa" w:w="2492"/>
          </w:tcPr>
          <w:p>
            <w:pPr>
              <w:pStyle w:val="null3"/>
            </w:pPr>
            <w:r>
              <w:rPr>
                <w:rFonts w:ascii="仿宋_GB2312" w:hAnsi="仿宋_GB2312" w:cs="仿宋_GB2312" w:eastAsia="仿宋_GB2312"/>
              </w:rPr>
              <w:t>投标人提供移动端GIS展示方案，方案至少包括：①系统功能设计框架；②执法任务规划融合设计；③入企扫码规范管理设计；④物联端业务协同管理设计。 评审依据：全面覆盖所有功能模块需求，功能响应具有创新性且完全符合移动端监管执法业务特性，具备主要功能界面原型，且贴合实际业务场景的得满分，（单项内容分值为5分）；方案内容每有一处瑕疵扣1分，单项内容分值扣完为止，未提供不得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投标人针对本项目有全面可行的项目整体实施方案，方案至少包括：①项目实施进度计划及保证措施；②质量保证措施等。 评审依据：包含但不限于上述全部内容，且方案详细，可行性强，清晰有利于项目的得满分，（单项内容分值为5分）；方案内容每有一处瑕疵扣1分，单项内容分值扣完为止，未提供不得分。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投标人针对项目提供售后服务方案，方案至少包括：①故障响应时间及故障解决方案；②运维保障期内的维护内容与范围；③定期巡检、技术咨询。 评审依据：售后服务方案完整、可行，针对性强的得满分，（单项内容分值为2分）；方案内容每有一处瑕疵扣1分，单项内容分值扣完为止，未提供不得分。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投标人针对项目提供培训方案，方案至少包括：①培训内容；②培训计划等，列出培训的具体内容及方式，确保使用人员能够独立熟练操作、维护和正常使用。 评审依据：方案内容完整、合理，针对性强的得满分，（单项内容分值为2分）；方案内容每有一处瑕疵扣1分，单项内容分值扣完为止，未提供不得分。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项目团队-项目总监</w:t>
            </w:r>
          </w:p>
        </w:tc>
        <w:tc>
          <w:tcPr>
            <w:tcW w:type="dxa" w:w="2492"/>
          </w:tcPr>
          <w:p>
            <w:pPr>
              <w:pStyle w:val="null3"/>
            </w:pPr>
            <w:r>
              <w:rPr>
                <w:rFonts w:ascii="仿宋_GB2312" w:hAnsi="仿宋_GB2312" w:cs="仿宋_GB2312" w:eastAsia="仿宋_GB2312"/>
              </w:rPr>
              <w:t>投标人拟为本项目配置的项目总监需具有优秀的管理能力，同时具有如下两个证书的，得3分；具有其中1个证书得1分；未提供不得分。①具有信息系统项目管理师证书；②具有网络工程师证书。注：需提供项目经理相关证明材料（含身份证、学历证书、专业技术资格证等相关证书复印件、投标截止日前近三个月在本单位社保缴纳证明）并加盖投标人公章。未提供或提供不全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项目团队-开发组长</w:t>
            </w:r>
          </w:p>
        </w:tc>
        <w:tc>
          <w:tcPr>
            <w:tcW w:type="dxa" w:w="2492"/>
          </w:tcPr>
          <w:p>
            <w:pPr>
              <w:pStyle w:val="null3"/>
            </w:pPr>
            <w:r>
              <w:rPr>
                <w:rFonts w:ascii="仿宋_GB2312" w:hAnsi="仿宋_GB2312" w:cs="仿宋_GB2312" w:eastAsia="仿宋_GB2312"/>
              </w:rPr>
              <w:t>投标人拟为本项目配置的开发组长需具有一定的技术水平，同时具有如下三个证书的，得3分；具有其中两个证书或提供其他任意计算机类相关高级职称证书的，得1分，未提供不得分。①具有软件设计师证书；②具有系统架构设计师证书；③具有数据库系统工程师证书。 注：需提供技术负责人相关证明材料（含身份证、学历证书、职称证或专业技术资格证等相关证书复印件、投标截止日前近三个月在本单位社保缴纳证明）并加盖投标人公章。未提供或提供不全不得分。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项目团队-成员</w:t>
            </w:r>
          </w:p>
        </w:tc>
        <w:tc>
          <w:tcPr>
            <w:tcW w:type="dxa" w:w="2492"/>
          </w:tcPr>
          <w:p>
            <w:pPr>
              <w:pStyle w:val="null3"/>
            </w:pPr>
            <w:r>
              <w:rPr>
                <w:rFonts w:ascii="仿宋_GB2312" w:hAnsi="仿宋_GB2312" w:cs="仿宋_GB2312" w:eastAsia="仿宋_GB2312"/>
              </w:rPr>
              <w:t>投标人承诺拟为本项目配置的项目团队其他成员不少于6人，其他成员获得国家计算机技术与软件专业技术资格(水平)中级及以上软考证书的，每提供一个证书得1分，最高得3分。注：须提供承诺函和团队成员基本资料名单（包括但不限于身份证、学历证、专业技术资格证及投标截止前近三个月内在本单位社保缴纳证明）并加盖投标人公章。未提供或提供不全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技术能力</w:t>
            </w:r>
          </w:p>
        </w:tc>
        <w:tc>
          <w:tcPr>
            <w:tcW w:type="dxa" w:w="2492"/>
          </w:tcPr>
          <w:p>
            <w:pPr>
              <w:pStyle w:val="null3"/>
            </w:pPr>
            <w:r>
              <w:rPr>
                <w:rFonts w:ascii="仿宋_GB2312" w:hAnsi="仿宋_GB2312" w:cs="仿宋_GB2312" w:eastAsia="仿宋_GB2312"/>
              </w:rPr>
              <w:t>投标人具有与执法监管、数据管理等功能相关的计算机软件著作权登记证书，每提供一个得0.5分，最多得2分。注：以提供有效期内的证书复印件并加盖公章，未提供不得分。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投标人提供2022年1月1日（以合同签订日期为准）至今类似项目业绩，每份业绩计1分，共计3分； 注：投标人需提供相关业绩合同复印件，以合同签订日期为准。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服务内容及服务邀请应答表.docx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详见附件：报价表及分项报价表.docx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详见附件：报价表及分项报价表.docx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详见附件：报价表及分项报价表.docx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