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版本号：ZMZB2025XBDX-41920251112001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激光粒度分析仪采购项目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ZMZB2025XBDX-419</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激光粒度分析仪采购项目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ZMZB2025XBDX-419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激光粒度分析仪采购项目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激光粒度分析仪采购项目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说明：说明：合同签订前缴纳，缴纳金额为合同金额的5%；缴纳方式：银行转账、支票/汇票/本票、保函/保险 ；退还方式：待验收合格后凭收据和验收单复印件无息退还。 转账账号：西北大学 611301015018001145006 交通银行太白路支行，转账金额到账后，可持银行回执到西北大学国有资产管理处换取收据。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激光粒度分析仪采购项目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激光粒度分析仪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标的名称：激光粒度分析仪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一、主机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测量范围</w:t>
            </w:r>
            <w:r>
              <w:rPr>
                <w:rFonts w:ascii="仿宋_GB2312" w:hAnsi="仿宋_GB2312" w:cs="仿宋_GB2312" w:eastAsia="仿宋_GB2312"/>
                <w:sz w:val="24"/>
              </w:rPr>
              <w:t>0.02</w:t>
            </w:r>
            <w:r>
              <w:rPr>
                <w:rFonts w:ascii="仿宋_GB2312" w:hAnsi="仿宋_GB2312" w:cs="仿宋_GB2312" w:eastAsia="仿宋_GB2312"/>
                <w:sz w:val="21"/>
              </w:rPr>
              <w:t xml:space="preserve"> </w:t>
            </w:r>
            <w:r>
              <w:rPr>
                <w:rFonts w:ascii="仿宋_GB2312" w:hAnsi="仿宋_GB2312" w:cs="仿宋_GB2312" w:eastAsia="仿宋_GB2312"/>
                <w:sz w:val="24"/>
              </w:rPr>
              <w:t>um</w:t>
            </w:r>
            <w:r>
              <w:rPr>
                <w:rFonts w:ascii="仿宋_GB2312" w:hAnsi="仿宋_GB2312" w:cs="仿宋_GB2312" w:eastAsia="仿宋_GB2312"/>
                <w:sz w:val="24"/>
              </w:rPr>
              <w:t>～</w:t>
            </w:r>
            <w:r>
              <w:rPr>
                <w:rFonts w:ascii="仿宋_GB2312" w:hAnsi="仿宋_GB2312" w:cs="仿宋_GB2312" w:eastAsia="仿宋_GB2312"/>
                <w:sz w:val="24"/>
              </w:rPr>
              <w:t>4,000</w:t>
            </w:r>
            <w:r>
              <w:rPr>
                <w:rFonts w:ascii="仿宋_GB2312" w:hAnsi="仿宋_GB2312" w:cs="仿宋_GB2312" w:eastAsia="仿宋_GB2312"/>
                <w:sz w:val="21"/>
              </w:rPr>
              <w:t xml:space="preserve"> </w:t>
            </w:r>
            <w:r>
              <w:rPr>
                <w:rFonts w:ascii="仿宋_GB2312" w:hAnsi="仿宋_GB2312" w:cs="仿宋_GB2312" w:eastAsia="仿宋_GB2312"/>
                <w:sz w:val="24"/>
              </w:rPr>
              <w:t>um</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测量理论：静态光散射分析仪</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检测器：</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个，以对数方式排列</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检测度：</w:t>
            </w:r>
            <w:r>
              <w:rPr>
                <w:rFonts w:ascii="仿宋_GB2312" w:hAnsi="仿宋_GB2312" w:cs="仿宋_GB2312" w:eastAsia="仿宋_GB2312"/>
                <w:sz w:val="24"/>
              </w:rPr>
              <w:t>0.02º</w:t>
            </w:r>
            <w:r>
              <w:rPr>
                <w:rFonts w:ascii="仿宋_GB2312" w:hAnsi="仿宋_GB2312" w:cs="仿宋_GB2312" w:eastAsia="仿宋_GB2312"/>
                <w:sz w:val="24"/>
              </w:rPr>
              <w:t>～</w:t>
            </w:r>
            <w:r>
              <w:rPr>
                <w:rFonts w:ascii="仿宋_GB2312" w:hAnsi="仿宋_GB2312" w:cs="仿宋_GB2312" w:eastAsia="仿宋_GB2312"/>
                <w:sz w:val="24"/>
              </w:rPr>
              <w:t>163º</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光信号采集：无需扫描，实时检测散射光信号</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0.5%</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湿法分散器系统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由主机自动识别并调整适用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湿法递送系统：内置不锈钢测量室，内部容积为</w:t>
            </w:r>
            <w:r>
              <w:rPr>
                <w:rFonts w:ascii="仿宋_GB2312" w:hAnsi="仿宋_GB2312" w:cs="仿宋_GB2312" w:eastAsia="仿宋_GB2312"/>
                <w:sz w:val="24"/>
              </w:rPr>
              <w:t>120</w:t>
            </w:r>
            <w:r>
              <w:rPr>
                <w:rFonts w:ascii="仿宋_GB2312" w:hAnsi="仿宋_GB2312" w:cs="仿宋_GB2312" w:eastAsia="仿宋_GB2312"/>
                <w:sz w:val="21"/>
              </w:rPr>
              <w:t xml:space="preserve"> </w:t>
            </w:r>
            <w:r>
              <w:rPr>
                <w:rFonts w:ascii="仿宋_GB2312" w:hAnsi="仿宋_GB2312" w:cs="仿宋_GB2312" w:eastAsia="仿宋_GB2312"/>
                <w:sz w:val="24"/>
              </w:rPr>
              <w:t>m</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1"/>
              </w:rPr>
              <w:t xml:space="preserve"> </w:t>
            </w:r>
            <w:r>
              <w:rPr>
                <w:rFonts w:ascii="仿宋_GB2312" w:hAnsi="仿宋_GB2312" w:cs="仿宋_GB2312" w:eastAsia="仿宋_GB2312"/>
                <w:sz w:val="24"/>
              </w:rPr>
              <w:t>m</w:t>
            </w:r>
            <w:r>
              <w:rPr>
                <w:rFonts w:ascii="仿宋_GB2312" w:hAnsi="仿宋_GB2312" w:cs="仿宋_GB2312" w:eastAsia="仿宋_GB2312"/>
                <w:sz w:val="24"/>
              </w:rPr>
              <w:t>L</w:t>
            </w:r>
            <w:r>
              <w:rPr>
                <w:rFonts w:ascii="仿宋_GB2312" w:hAnsi="仿宋_GB2312" w:cs="仿宋_GB2312" w:eastAsia="仿宋_GB2312"/>
                <w:sz w:val="24"/>
              </w:rPr>
              <w:t>，软件必须在无水压的情况下控制自动加液和排液，自动循环，自动清洗</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兼容水相以及有机相样品</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三、软件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能在</w:t>
            </w:r>
            <w:r>
              <w:rPr>
                <w:rFonts w:ascii="仿宋_GB2312" w:hAnsi="仿宋_GB2312" w:cs="仿宋_GB2312" w:eastAsia="仿宋_GB2312"/>
                <w:sz w:val="24"/>
              </w:rPr>
              <w:t>Windows</w:t>
            </w:r>
            <w:r>
              <w:rPr>
                <w:rFonts w:ascii="仿宋_GB2312" w:hAnsi="仿宋_GB2312" w:cs="仿宋_GB2312" w:eastAsia="仿宋_GB2312"/>
                <w:sz w:val="24"/>
              </w:rPr>
              <w:t>各种版本下运行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软件应包含测试方法的建立，测量，结果显示，数据比较以及重新计算模块，用户可建立不同样品的</w:t>
            </w:r>
            <w:r>
              <w:rPr>
                <w:rFonts w:ascii="仿宋_GB2312" w:hAnsi="仿宋_GB2312" w:cs="仿宋_GB2312" w:eastAsia="仿宋_GB2312"/>
                <w:sz w:val="24"/>
              </w:rPr>
              <w:t>SOP</w:t>
            </w:r>
            <w:r>
              <w:rPr>
                <w:rFonts w:ascii="仿宋_GB2312" w:hAnsi="仿宋_GB2312" w:cs="仿宋_GB2312" w:eastAsia="仿宋_GB2312"/>
                <w:sz w:val="24"/>
              </w:rPr>
              <w:t>并保存备用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在测试报告中，可以显示测试的</w:t>
            </w:r>
            <w:r>
              <w:rPr>
                <w:rFonts w:ascii="仿宋_GB2312" w:hAnsi="仿宋_GB2312" w:cs="仿宋_GB2312" w:eastAsia="仿宋_GB2312"/>
                <w:sz w:val="24"/>
              </w:rPr>
              <w:t>SOP</w:t>
            </w:r>
            <w:r>
              <w:rPr>
                <w:rFonts w:ascii="仿宋_GB2312" w:hAnsi="仿宋_GB2312" w:cs="仿宋_GB2312" w:eastAsia="仿宋_GB2312"/>
                <w:sz w:val="24"/>
              </w:rPr>
              <w:t>（包含颗粒和分散介质的信息），</w:t>
            </w:r>
            <w:r>
              <w:rPr>
                <w:rFonts w:ascii="仿宋_GB2312" w:hAnsi="仿宋_GB2312" w:cs="仿宋_GB2312" w:eastAsia="仿宋_GB2312"/>
                <w:sz w:val="24"/>
              </w:rPr>
              <w:t>D10</w:t>
            </w:r>
            <w:r>
              <w:rPr>
                <w:rFonts w:ascii="仿宋_GB2312" w:hAnsi="仿宋_GB2312" w:cs="仿宋_GB2312" w:eastAsia="仿宋_GB2312"/>
                <w:sz w:val="24"/>
              </w:rPr>
              <w:t>，</w:t>
            </w:r>
            <w:r>
              <w:rPr>
                <w:rFonts w:ascii="仿宋_GB2312" w:hAnsi="仿宋_GB2312" w:cs="仿宋_GB2312" w:eastAsia="仿宋_GB2312"/>
                <w:sz w:val="24"/>
              </w:rPr>
              <w:t>D50</w:t>
            </w:r>
            <w:r>
              <w:rPr>
                <w:rFonts w:ascii="仿宋_GB2312" w:hAnsi="仿宋_GB2312" w:cs="仿宋_GB2312" w:eastAsia="仿宋_GB2312"/>
                <w:sz w:val="24"/>
              </w:rPr>
              <w:t>，</w:t>
            </w:r>
            <w:r>
              <w:rPr>
                <w:rFonts w:ascii="仿宋_GB2312" w:hAnsi="仿宋_GB2312" w:cs="仿宋_GB2312" w:eastAsia="仿宋_GB2312"/>
                <w:sz w:val="24"/>
              </w:rPr>
              <w:t>D90</w:t>
            </w:r>
            <w:r>
              <w:rPr>
                <w:rFonts w:ascii="仿宋_GB2312" w:hAnsi="仿宋_GB2312" w:cs="仿宋_GB2312" w:eastAsia="仿宋_GB2312"/>
                <w:sz w:val="24"/>
              </w:rPr>
              <w:t>，</w:t>
            </w:r>
            <w:r>
              <w:rPr>
                <w:rFonts w:ascii="仿宋_GB2312" w:hAnsi="仿宋_GB2312" w:cs="仿宋_GB2312" w:eastAsia="仿宋_GB2312"/>
                <w:sz w:val="24"/>
              </w:rPr>
              <w:t>D95</w:t>
            </w:r>
            <w:r>
              <w:rPr>
                <w:rFonts w:ascii="仿宋_GB2312" w:hAnsi="仿宋_GB2312" w:cs="仿宋_GB2312" w:eastAsia="仿宋_GB2312"/>
                <w:sz w:val="24"/>
              </w:rPr>
              <w:t>，</w:t>
            </w:r>
            <w:r>
              <w:rPr>
                <w:rFonts w:ascii="仿宋_GB2312" w:hAnsi="仿宋_GB2312" w:cs="仿宋_GB2312" w:eastAsia="仿宋_GB2312"/>
                <w:sz w:val="24"/>
              </w:rPr>
              <w:t>MV</w:t>
            </w:r>
            <w:r>
              <w:rPr>
                <w:rFonts w:ascii="仿宋_GB2312" w:hAnsi="仿宋_GB2312" w:cs="仿宋_GB2312" w:eastAsia="仿宋_GB2312"/>
                <w:sz w:val="24"/>
              </w:rPr>
              <w:t>，</w:t>
            </w:r>
            <w:r>
              <w:rPr>
                <w:rFonts w:ascii="仿宋_GB2312" w:hAnsi="仿宋_GB2312" w:cs="仿宋_GB2312" w:eastAsia="仿宋_GB2312"/>
                <w:sz w:val="24"/>
              </w:rPr>
              <w:t>MN</w:t>
            </w:r>
            <w:r>
              <w:rPr>
                <w:rFonts w:ascii="仿宋_GB2312" w:hAnsi="仿宋_GB2312" w:cs="仿宋_GB2312" w:eastAsia="仿宋_GB2312"/>
                <w:sz w:val="24"/>
              </w:rPr>
              <w:t>，</w:t>
            </w:r>
            <w:r>
              <w:rPr>
                <w:rFonts w:ascii="仿宋_GB2312" w:hAnsi="仿宋_GB2312" w:cs="仿宋_GB2312" w:eastAsia="仿宋_GB2312"/>
                <w:sz w:val="24"/>
              </w:rPr>
              <w:t>MA</w:t>
            </w:r>
            <w:r>
              <w:rPr>
                <w:rFonts w:ascii="仿宋_GB2312" w:hAnsi="仿宋_GB2312" w:cs="仿宋_GB2312" w:eastAsia="仿宋_GB2312"/>
                <w:sz w:val="24"/>
              </w:rPr>
              <w:t>，</w:t>
            </w:r>
            <w:r>
              <w:rPr>
                <w:rFonts w:ascii="仿宋_GB2312" w:hAnsi="仿宋_GB2312" w:cs="仿宋_GB2312" w:eastAsia="仿宋_GB2312"/>
                <w:sz w:val="24"/>
              </w:rPr>
              <w:t>SD</w:t>
            </w:r>
            <w:r>
              <w:rPr>
                <w:rFonts w:ascii="仿宋_GB2312" w:hAnsi="仿宋_GB2312" w:cs="仿宋_GB2312" w:eastAsia="仿宋_GB2312"/>
                <w:sz w:val="24"/>
              </w:rPr>
              <w:t>等数值，当然用户也可以根据不同的应用需求，任意设定不同的</w:t>
            </w:r>
            <w:r>
              <w:rPr>
                <w:rFonts w:ascii="仿宋_GB2312" w:hAnsi="仿宋_GB2312" w:cs="仿宋_GB2312" w:eastAsia="仿宋_GB2312"/>
                <w:sz w:val="24"/>
              </w:rPr>
              <w:t>D</w:t>
            </w:r>
            <w:r>
              <w:rPr>
                <w:rFonts w:ascii="仿宋_GB2312" w:hAnsi="仿宋_GB2312" w:cs="仿宋_GB2312" w:eastAsia="仿宋_GB2312"/>
                <w:sz w:val="24"/>
              </w:rPr>
              <w:t>值</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 xml:space="preserve">软件符合 </w:t>
            </w:r>
            <w:r>
              <w:rPr>
                <w:rFonts w:ascii="仿宋_GB2312" w:hAnsi="仿宋_GB2312" w:cs="仿宋_GB2312" w:eastAsia="仿宋_GB2312"/>
                <w:sz w:val="24"/>
              </w:rPr>
              <w:t>FDA 21CFR PART 11</w:t>
            </w:r>
            <w:r>
              <w:rPr>
                <w:rFonts w:ascii="仿宋_GB2312" w:hAnsi="仿宋_GB2312" w:cs="仿宋_GB2312" w:eastAsia="仿宋_GB2312"/>
                <w:sz w:val="24"/>
              </w:rPr>
              <w:t>安全要求，必须具有电子签名和权限等级分级等数据审计追踪功能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应包括常规的报告设计功能且用户能自行设计，添加图象信息，数据库应用，其中数据库要能进行全面的搜索，分类和根据过滤条件进行数据的过滤</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应包含常用材料的光学数据库</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标准样品</w:t>
            </w:r>
          </w:p>
          <w:p>
            <w:pPr>
              <w:pStyle w:val="null3"/>
              <w:jc w:val="left"/>
            </w:pPr>
            <w:r>
              <w:rPr>
                <w:rFonts w:ascii="仿宋_GB2312" w:hAnsi="仿宋_GB2312" w:cs="仿宋_GB2312" w:eastAsia="仿宋_GB2312"/>
                <w:sz w:val="24"/>
              </w:rPr>
              <w:t>3.5</w:t>
            </w:r>
            <w:r>
              <w:rPr>
                <w:rFonts w:ascii="仿宋_GB2312" w:hAnsi="仿宋_GB2312" w:cs="仿宋_GB2312" w:eastAsia="仿宋_GB2312"/>
                <w:sz w:val="21"/>
              </w:rPr>
              <w:t xml:space="preserve"> </w:t>
            </w:r>
            <w:r>
              <w:rPr>
                <w:rFonts w:ascii="仿宋_GB2312" w:hAnsi="仿宋_GB2312" w:cs="仿宋_GB2312" w:eastAsia="仿宋_GB2312"/>
                <w:sz w:val="24"/>
              </w:rPr>
              <w:t>um</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瓶）</w:t>
            </w:r>
          </w:p>
          <w:p>
            <w:pPr>
              <w:pStyle w:val="null3"/>
              <w:jc w:val="left"/>
            </w:pPr>
            <w:r>
              <w:rPr>
                <w:rFonts w:ascii="仿宋_GB2312" w:hAnsi="仿宋_GB2312" w:cs="仿宋_GB2312" w:eastAsia="仿宋_GB2312"/>
                <w:sz w:val="24"/>
              </w:rPr>
              <w:t>57</w:t>
            </w:r>
            <w:r>
              <w:rPr>
                <w:rFonts w:ascii="仿宋_GB2312" w:hAnsi="仿宋_GB2312" w:cs="仿宋_GB2312" w:eastAsia="仿宋_GB2312"/>
                <w:sz w:val="21"/>
              </w:rPr>
              <w:t xml:space="preserve"> </w:t>
            </w:r>
            <w:r>
              <w:rPr>
                <w:rFonts w:ascii="仿宋_GB2312" w:hAnsi="仿宋_GB2312" w:cs="仿宋_GB2312" w:eastAsia="仿宋_GB2312"/>
                <w:sz w:val="24"/>
              </w:rPr>
              <w:t>um</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瓶）</w:t>
            </w:r>
          </w:p>
          <w:p>
            <w:pPr>
              <w:pStyle w:val="null3"/>
              <w:jc w:val="both"/>
            </w:pPr>
            <w:r>
              <w:rPr>
                <w:rFonts w:ascii="仿宋_GB2312" w:hAnsi="仿宋_GB2312" w:cs="仿宋_GB2312" w:eastAsia="仿宋_GB2312"/>
                <w:sz w:val="24"/>
              </w:rPr>
              <w:t>650</w:t>
            </w:r>
            <w:r>
              <w:rPr>
                <w:rFonts w:ascii="仿宋_GB2312" w:hAnsi="仿宋_GB2312" w:cs="仿宋_GB2312" w:eastAsia="仿宋_GB2312"/>
                <w:sz w:val="21"/>
              </w:rPr>
              <w:t xml:space="preserve"> </w:t>
            </w:r>
            <w:r>
              <w:rPr>
                <w:rFonts w:ascii="仿宋_GB2312" w:hAnsi="仿宋_GB2312" w:cs="仿宋_GB2312" w:eastAsia="仿宋_GB2312"/>
                <w:sz w:val="24"/>
              </w:rPr>
              <w:t>um</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以上参数不允许负偏离，任意一项负偏离按无效处理，技术参数与性能指标中需要提供证明材料的技术参数必须提供相关证明材料，未提供证明材料或提供的证明材料低于采购要求时按负偏离处理。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自合同签订之日起90天内到货，30天内安装调试并交付使用。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西北大学长安校区城市与环境学院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货物：合同生效后，乙方开具合同金额等额银行保函，甲方收到银行保函正本后预付合同货款，待货物到达指定地点、安装调试验收合格后，甲方退还银行保函正本；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 （3）调试、运行且自检合格后，由乙方负责安装调试、甲方负责技术验收（乙方协助），验收以国内行业标准或合同文本货物供货配置清单中描述的有关技术要求为准； （4）在货物安装调试运行正常后，由供应商申请，采购人组织最终验收。经验收合格后，采购人向供应商出具验收合格证明。</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1、质保期：自学校验收合格之日起1年。2.售后服务标准要求：（1）负责提供仪器的安装、调试、现场培训，达到买方熟练掌握为止。 （2）仪器的硬件故障诊断和维修。（3）软件的最新版本的实时更新。（4）若仪器发生问题，服务工程师保证立刻响应，12小时以内完成用户提出的维修要求。如需更换设备或送修，在3个工作日内负责解决。并对用户相关的技术人员提供现场培训3.售后服务效率要求：即时响应（包括电话响应）；电话响应无法解决时， 48小时内到达现场。修复时间72 小时内；如 72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报价要求：1.1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招标文件的内容和要求作为投标依据； 1.2、进口产品（经专家论证允许采购的情况下）按人民币报价，此报价不受市场价格及外汇汇率波动影响。采购人及招标代理机构不接受任何未办理合法进口手续的非国内生产产品的投标报价。 1.3、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1.4、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西安市雁塔区科技路30号合力紫郡B座21层第一会议室，若电子投标文件与纸质投标文件不一致的，以电子投标文件为准。投标保证金以电子保函形式递交需在开标前给shanxizhuoming_zb@163.com发一份扫描件。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