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版本号：HXTDJC2025174320251107001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雁塔校区14号楼消防专项整改工程项目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HXTDJC20251743</w:t>
      </w:r>
      <w:r>
        <w:br/>
      </w:r>
      <w:r>
        <w:br/>
      </w:r>
      <w:r>
        <w:br/>
      </w:r>
    </w:p>
    <w:p>
      <w:pPr>
        <w:pStyle w:val="null3"/>
        <w:jc w:val="center"/>
        <w:outlineLvl w:val="2"/>
      </w:pPr>
      <w:r>
        <w:rPr>
          <w:rFonts w:ascii="仿宋_GB2312" w:hAnsi="仿宋_GB2312" w:cs="仿宋_GB2312" w:eastAsia="仿宋_GB2312"/>
          <w:sz w:val="28"/>
          <w:b/>
        </w:rPr>
        <w:t>西安外国语大学</w:t>
      </w:r>
    </w:p>
    <w:p>
      <w:pPr>
        <w:pStyle w:val="null3"/>
        <w:jc w:val="center"/>
        <w:outlineLvl w:val="2"/>
      </w:pPr>
      <w:r>
        <w:rPr>
          <w:rFonts w:ascii="仿宋_GB2312" w:hAnsi="仿宋_GB2312" w:cs="仿宋_GB2312" w:eastAsia="仿宋_GB2312"/>
          <w:sz w:val="28"/>
          <w:b/>
        </w:rPr>
        <w:t>陕西鸿信泰鼎建设项目管理有限公司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陕西鸿信泰鼎建设项目管理有限公司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西安外国语大学</w:t>
      </w:r>
      <w:r>
        <w:rPr>
          <w:rFonts w:ascii="仿宋_GB2312" w:hAnsi="仿宋_GB2312" w:cs="仿宋_GB2312" w:eastAsia="仿宋_GB2312"/>
        </w:rPr>
        <w:t>委托，拟对</w:t>
      </w:r>
      <w:r>
        <w:rPr>
          <w:rFonts w:ascii="仿宋_GB2312" w:hAnsi="仿宋_GB2312" w:cs="仿宋_GB2312" w:eastAsia="仿宋_GB2312"/>
        </w:rPr>
        <w:t>雁塔校区14号楼消防专项整改工程项目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HXTDJC20251743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雁塔校区14号楼消防专项整改工程项目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本工程建设地点位于西安外国语大学雁塔校区。包含房屋建筑与装饰工程、电气工程、火灾报警、消防水工程、通风工程。按照图纸与清单计价规则计算，具体详见工程量清单。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采购包1（雁塔校区14号楼消防专项整改工程项目）：属于专门面向中小企业采购。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1、企业资质：供应商须具备建设行政主管部门颁发的消防设施工程专业承包二级及以上资质，并具备有效的安全生产许可证；</w:t>
      </w:r>
    </w:p>
    <w:p>
      <w:pPr>
        <w:pStyle w:val="null3"/>
      </w:pPr>
      <w:r>
        <w:rPr>
          <w:rFonts w:ascii="仿宋_GB2312" w:hAnsi="仿宋_GB2312" w:cs="仿宋_GB2312" w:eastAsia="仿宋_GB2312"/>
        </w:rPr>
        <w:t>2、拟派项目负责人：拟派项目负责人需具备机电工程专业二级及以上注册建造师资格和有效的安全生产考核B证，必须为本公司注册人员，且无在建项目；</w:t>
      </w:r>
    </w:p>
    <w:p>
      <w:pPr>
        <w:pStyle w:val="null3"/>
      </w:pPr>
      <w:r>
        <w:rPr>
          <w:rFonts w:ascii="仿宋_GB2312" w:hAnsi="仿宋_GB2312" w:cs="仿宋_GB2312" w:eastAsia="仿宋_GB2312"/>
        </w:rPr>
        <w:t>3、信誉要求：供应商未被列入“信用中国”（www.creditchina.gov.cn）记录的“严重失信主体名单”和“重大税收违法失信主体”名单；未被列入“中国政府采购网”（www.ccgp.gov.cn）中的“政府采购严重违法失信行为记录名单”；</w:t>
      </w:r>
    </w:p>
    <w:p>
      <w:pPr>
        <w:pStyle w:val="null3"/>
      </w:pPr>
      <w:r>
        <w:rPr>
          <w:rFonts w:ascii="仿宋_GB2312" w:hAnsi="仿宋_GB2312" w:cs="仿宋_GB2312" w:eastAsia="仿宋_GB2312"/>
        </w:rPr>
        <w:t>4、法定代表人授权书：供应商应授权合法的人员参加磋商全过程，其中法定代表人直接参加磋商的，须出具法人身份证，并与营业执照上信息一致。法定代表人授权代表参加磋商的，须出具法定代表人授权书及授权代表身份证、授权代表的养老保险缴纳证明或劳动合同；</w:t>
      </w:r>
    </w:p>
    <w:p>
      <w:pPr>
        <w:pStyle w:val="null3"/>
      </w:pPr>
      <w:r>
        <w:rPr>
          <w:rFonts w:ascii="仿宋_GB2312" w:hAnsi="仿宋_GB2312" w:cs="仿宋_GB2312" w:eastAsia="仿宋_GB2312"/>
        </w:rPr>
        <w:t>5、供应商不得存在下列情形之一：（1）单位负责人为同一人或者存在直接控股、管理关系的不同供应商，不得参加本次采购活动； （2）为本项目提供整体设计、规范编制或者项目管理、监理、检测等服务的供应商，不得再参加本项目磋商；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西安外国语大学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长安区文苑南路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710128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029-85319529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陕西鸿信泰鼎建设项目管理有限公司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西安市高新区沣惠南路18号唐沣国际广场D座13楼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李飞、方湖、韩燕子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029-89562775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采购包1：3,032,700.00元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开户名称：陕西鸿信泰鼎建设项目管理有限公司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银行账号：103694624495000251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本采购包履约保证金为合同金额的2%</w:t>
            </w:r>
          </w:p>
          <w:p>
            <w:pPr>
              <w:pStyle w:val="null3"/>
            </w:pPr>
            <w:r>
              <w:rPr>
                <w:rFonts w:ascii="仿宋_GB2312" w:hAnsi="仿宋_GB2312" w:cs="仿宋_GB2312" w:eastAsia="仿宋_GB2312"/>
              </w:rPr>
              <w:t>说明：中标/成交供应商在中标后，须缴纳履约保证金2万元；待验收合格达到国家相关规范要求，并协助学校取得属地住建消防等部门多方认可的合格评估论证意见函后，凭意见函和缴款收据，履约保证金予以无息退还。 注：因系统履约保证金缴纳只能填写比例，无法实现定额收取，现本项目履约保证金定额收取2万元。</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依据《国家计委关于印发招标代理服务费管理暂行办法的通知》（计价格【2002】1980号）文件、国家发展委下发的《关于降低部分建设项目收费标准规范收费行为等有关问题的通知》[2011]534号文件规定标准以成交供应商最后响应报价拟投入资金为基数下浮10%收取，由成交供应商支付。 2、成交人在取得成交通知书时，向采购代理机构缴付成交服务费。 3、服务费以转账或现金形式交纳，服务费缴纳帐号如下：开户名称：陕西鸿信泰鼎建设项目管理有限公司 开户银行：中国民生银行股份有限公司西安吉祥路支行 账 号：155221039</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西安外国语大学</w:t>
      </w:r>
      <w:r>
        <w:rPr>
          <w:rFonts w:ascii="仿宋_GB2312" w:hAnsi="仿宋_GB2312" w:cs="仿宋_GB2312" w:eastAsia="仿宋_GB2312"/>
        </w:rPr>
        <w:t>和</w:t>
      </w:r>
      <w:r>
        <w:rPr>
          <w:rFonts w:ascii="仿宋_GB2312" w:hAnsi="仿宋_GB2312" w:cs="仿宋_GB2312" w:eastAsia="仿宋_GB2312"/>
        </w:rPr>
        <w:t>陕西鸿信泰鼎建设项目管理有限公司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西安外国语大学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陕西鸿信泰鼎建设项目管理有限公司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西安外国语大学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陕西鸿信泰鼎建设项目管理有限公司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达到国家相关规范要求，并取得属地住建消防等部门多方认可的合格评估论证意见函。</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陕西鸿信泰鼎建设项目管理有限公司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陕西鸿信泰鼎建设项目管理有限公司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陕西鸿信泰鼎建设项目管理有限公司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联系人：张海悦</w:t>
      </w:r>
    </w:p>
    <w:p>
      <w:pPr>
        <w:pStyle w:val="null3"/>
      </w:pPr>
      <w:r>
        <w:rPr>
          <w:rFonts w:ascii="仿宋_GB2312" w:hAnsi="仿宋_GB2312" w:cs="仿宋_GB2312" w:eastAsia="仿宋_GB2312"/>
        </w:rPr>
        <w:t>联系电话：029-89563670</w:t>
      </w:r>
    </w:p>
    <w:p>
      <w:pPr>
        <w:pStyle w:val="null3"/>
      </w:pPr>
      <w:r>
        <w:rPr>
          <w:rFonts w:ascii="仿宋_GB2312" w:hAnsi="仿宋_GB2312" w:cs="仿宋_GB2312" w:eastAsia="仿宋_GB2312"/>
        </w:rPr>
        <w:t>地址：书面材料送至西安市高新区沣惠南路唐沣国际广场D座13层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3,032,700.00</w:t>
      </w:r>
    </w:p>
    <w:p>
      <w:pPr>
        <w:pStyle w:val="null3"/>
      </w:pPr>
      <w:r>
        <w:rPr>
          <w:rFonts w:ascii="仿宋_GB2312" w:hAnsi="仿宋_GB2312" w:cs="仿宋_GB2312" w:eastAsia="仿宋_GB2312"/>
        </w:rPr>
        <w:t>采购包最高限价（元）: 2,824,412.64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消防专项整改工程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3,032,700.00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标的名称：消防专项整改工程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一、工程概况</w:t>
            </w:r>
          </w:p>
          <w:p>
            <w:pPr>
              <w:pStyle w:val="null3"/>
            </w:pPr>
            <w:r>
              <w:rPr>
                <w:rFonts w:ascii="仿宋_GB2312" w:hAnsi="仿宋_GB2312" w:cs="仿宋_GB2312" w:eastAsia="仿宋_GB2312"/>
              </w:rPr>
              <w:t>工程名称：西安外国语大学雁塔校区14号楼消防专项整改工程项目</w:t>
            </w:r>
          </w:p>
          <w:p>
            <w:pPr>
              <w:pStyle w:val="null3"/>
            </w:pPr>
            <w:r>
              <w:rPr>
                <w:rFonts w:ascii="仿宋_GB2312" w:hAnsi="仿宋_GB2312" w:cs="仿宋_GB2312" w:eastAsia="仿宋_GB2312"/>
              </w:rPr>
              <w:t>工程地址：西安外国语大学雁塔校区</w:t>
            </w:r>
          </w:p>
          <w:p>
            <w:pPr>
              <w:pStyle w:val="null3"/>
            </w:pPr>
            <w:r>
              <w:rPr>
                <w:rFonts w:ascii="仿宋_GB2312" w:hAnsi="仿宋_GB2312" w:cs="仿宋_GB2312" w:eastAsia="仿宋_GB2312"/>
              </w:rPr>
              <w:t>工程预算：最高限价2,824,412.64元</w:t>
            </w:r>
          </w:p>
          <w:p>
            <w:pPr>
              <w:pStyle w:val="null3"/>
            </w:pPr>
            <w:r>
              <w:rPr>
                <w:rFonts w:ascii="仿宋_GB2312" w:hAnsi="仿宋_GB2312" w:cs="仿宋_GB2312" w:eastAsia="仿宋_GB2312"/>
              </w:rPr>
              <w:t>工程概况：</w:t>
            </w:r>
          </w:p>
          <w:p>
            <w:pPr>
              <w:pStyle w:val="null3"/>
            </w:pPr>
            <w:r>
              <w:rPr>
                <w:rFonts w:ascii="仿宋_GB2312" w:hAnsi="仿宋_GB2312" w:cs="仿宋_GB2312" w:eastAsia="仿宋_GB2312"/>
              </w:rPr>
              <w:t>本工程建设地点位于西安外国语大学雁塔校区。包含房屋建筑与装饰工程、电气工程、火灾报警、消防水工程、通风工程。按照图纸与清单计价规则计算，具体详见工程量清单。</w:t>
            </w:r>
          </w:p>
          <w:p>
            <w:pPr>
              <w:pStyle w:val="null3"/>
            </w:pPr>
            <w:r>
              <w:rPr>
                <w:rFonts w:ascii="仿宋_GB2312" w:hAnsi="仿宋_GB2312" w:cs="仿宋_GB2312" w:eastAsia="仿宋_GB2312"/>
              </w:rPr>
              <w:t>二、工程量清单编制依据</w:t>
            </w:r>
          </w:p>
          <w:p>
            <w:pPr>
              <w:pStyle w:val="null3"/>
            </w:pPr>
            <w:r>
              <w:rPr>
                <w:rFonts w:ascii="仿宋_GB2312" w:hAnsi="仿宋_GB2312" w:cs="仿宋_GB2312" w:eastAsia="仿宋_GB2312"/>
              </w:rPr>
              <w:t>1、建设单位提供的设计图纸改造内容及答疑编制；</w:t>
            </w:r>
          </w:p>
          <w:p>
            <w:pPr>
              <w:pStyle w:val="null3"/>
            </w:pPr>
            <w:r>
              <w:rPr>
                <w:rFonts w:ascii="仿宋_GB2312" w:hAnsi="仿宋_GB2312" w:cs="仿宋_GB2312" w:eastAsia="仿宋_GB2312"/>
              </w:rPr>
              <w:t>2、《陕西省建设工程工程量清单计价标准》（2025）及《陕西省建设工程费用规则》（2025）；</w:t>
            </w:r>
          </w:p>
          <w:p>
            <w:pPr>
              <w:pStyle w:val="null3"/>
            </w:pPr>
            <w:r>
              <w:rPr>
                <w:rFonts w:ascii="仿宋_GB2312" w:hAnsi="仿宋_GB2312" w:cs="仿宋_GB2312" w:eastAsia="仿宋_GB2312"/>
              </w:rPr>
              <w:t>《陕西省房屋建筑与装饰工程工程量计算标准》（2025）、《陕西省市政工程工程量计算标准》（2025）、《陕西省通用安装工程工程量计算标准》（2025）、《陕西省园林绿化工程工程量计算标准》（2025）；</w:t>
            </w:r>
          </w:p>
          <w:p>
            <w:pPr>
              <w:pStyle w:val="null3"/>
            </w:pPr>
            <w:r>
              <w:rPr>
                <w:rFonts w:ascii="仿宋_GB2312" w:hAnsi="仿宋_GB2312" w:cs="仿宋_GB2312" w:eastAsia="仿宋_GB2312"/>
              </w:rPr>
              <w:t>《陕西省房屋建筑与装饰工程消耗量定额》（2025），《陕西省通用安装工程消耗量定额》（2025），《陕西省市政工程消耗量定额》（2025）、《陕西省园林绿化工程消耗量定额》（2025）、《陕西省城市地下综合管廊工程消耗量定额》（2025）、《陕西省绿色建筑工程消耗量定额》（2025）；</w:t>
            </w:r>
          </w:p>
          <w:p>
            <w:pPr>
              <w:pStyle w:val="null3"/>
            </w:pPr>
            <w:r>
              <w:rPr>
                <w:rFonts w:ascii="仿宋_GB2312" w:hAnsi="仿宋_GB2312" w:cs="仿宋_GB2312" w:eastAsia="仿宋_GB2312"/>
              </w:rPr>
              <w:t>《陕西省建设工程施工机械台班费用定额》（2025）、《陕西省建设工程施工仪器仪表台班费用定额》（2025）；</w:t>
            </w:r>
          </w:p>
          <w:p>
            <w:pPr>
              <w:pStyle w:val="null3"/>
            </w:pPr>
            <w:r>
              <w:rPr>
                <w:rFonts w:ascii="仿宋_GB2312" w:hAnsi="仿宋_GB2312" w:cs="仿宋_GB2312" w:eastAsia="仿宋_GB2312"/>
              </w:rPr>
              <w:t>3、与建设工程项目有关的标准、规范、图集、技术资料；</w:t>
            </w:r>
          </w:p>
          <w:p>
            <w:pPr>
              <w:pStyle w:val="null3"/>
            </w:pPr>
            <w:r>
              <w:rPr>
                <w:rFonts w:ascii="仿宋_GB2312" w:hAnsi="仿宋_GB2312" w:cs="仿宋_GB2312" w:eastAsia="仿宋_GB2312"/>
              </w:rPr>
              <w:t>4、结合施工现场情况、工程特点参照常规的施工方案；</w:t>
            </w:r>
          </w:p>
          <w:p>
            <w:pPr>
              <w:pStyle w:val="null3"/>
            </w:pPr>
            <w:r>
              <w:rPr>
                <w:rFonts w:ascii="仿宋_GB2312" w:hAnsi="仿宋_GB2312" w:cs="仿宋_GB2312" w:eastAsia="仿宋_GB2312"/>
              </w:rPr>
              <w:t>5、其他相关资料。</w:t>
            </w:r>
          </w:p>
          <w:p>
            <w:pPr>
              <w:pStyle w:val="null3"/>
            </w:pPr>
            <w:r>
              <w:rPr>
                <w:rFonts w:ascii="仿宋_GB2312" w:hAnsi="仿宋_GB2312" w:cs="仿宋_GB2312" w:eastAsia="仿宋_GB2312"/>
              </w:rPr>
              <w:t>（二）其他依据</w:t>
            </w:r>
          </w:p>
          <w:p>
            <w:pPr>
              <w:pStyle w:val="null3"/>
            </w:pPr>
            <w:r>
              <w:rPr>
                <w:rFonts w:ascii="仿宋_GB2312" w:hAnsi="仿宋_GB2312" w:cs="仿宋_GB2312" w:eastAsia="仿宋_GB2312"/>
              </w:rPr>
              <w:t>1.采用广联达计价软件版本GCCP7.0：7.5000.23.1；</w:t>
            </w:r>
          </w:p>
          <w:p>
            <w:pPr>
              <w:pStyle w:val="null3"/>
            </w:pPr>
            <w:r>
              <w:rPr>
                <w:rFonts w:ascii="仿宋_GB2312" w:hAnsi="仿宋_GB2312" w:cs="仿宋_GB2312" w:eastAsia="仿宋_GB2312"/>
              </w:rPr>
              <w:t>2.本项目暂列金额按15万元计入房屋建筑与装饰工程《暂列金额、专业工程暂估价、总承包服务费》其他项目 “暂列金额”栏目中；</w:t>
            </w:r>
          </w:p>
          <w:p>
            <w:pPr>
              <w:pStyle w:val="null3"/>
            </w:pPr>
            <w:r>
              <w:rPr>
                <w:rFonts w:ascii="仿宋_GB2312" w:hAnsi="仿宋_GB2312" w:cs="仿宋_GB2312" w:eastAsia="仿宋_GB2312"/>
              </w:rPr>
              <w:t>3.消防水管道按平面图算至室外水泵接合器，压力废水管道算至室外废水检查井；</w:t>
            </w:r>
          </w:p>
          <w:p>
            <w:pPr>
              <w:pStyle w:val="null3"/>
            </w:pPr>
            <w:r>
              <w:rPr>
                <w:rFonts w:ascii="仿宋_GB2312" w:hAnsi="仿宋_GB2312" w:cs="仿宋_GB2312" w:eastAsia="仿宋_GB2312"/>
              </w:rPr>
              <w:t>4.屋面水箱间增加的空调暂按5匹柜机空调机考虑；</w:t>
            </w:r>
          </w:p>
          <w:p>
            <w:pPr>
              <w:pStyle w:val="null3"/>
            </w:pPr>
            <w:r>
              <w:rPr>
                <w:rFonts w:ascii="仿宋_GB2312" w:hAnsi="仿宋_GB2312" w:cs="仿宋_GB2312" w:eastAsia="仿宋_GB2312"/>
              </w:rPr>
              <w:t>5.通风工程按设计范围及答疑“各楼层云线外的风管、风口、通风设备不在本次改造范围内，改造部分的通风管道不需要保温”考虑计入;</w:t>
            </w:r>
          </w:p>
          <w:p>
            <w:pPr>
              <w:pStyle w:val="null3"/>
            </w:pPr>
            <w:r>
              <w:rPr>
                <w:rFonts w:ascii="仿宋_GB2312" w:hAnsi="仿宋_GB2312" w:cs="仿宋_GB2312" w:eastAsia="仿宋_GB2312"/>
              </w:rPr>
              <w:t>6.火灾报警拆除、应急照明拆除缺少原始图纸，故部分拆除工程量暂按新做工程量考虑；</w:t>
            </w:r>
          </w:p>
          <w:p>
            <w:pPr>
              <w:pStyle w:val="null3"/>
            </w:pPr>
            <w:r>
              <w:rPr>
                <w:rFonts w:ascii="仿宋_GB2312" w:hAnsi="仿宋_GB2312" w:cs="仿宋_GB2312" w:eastAsia="仿宋_GB2312"/>
              </w:rPr>
              <w:t>7.安装拆除垃圾工程量计入土建工程，各专业的垃圾按一并装卸外运考虑；</w:t>
            </w:r>
          </w:p>
          <w:p>
            <w:pPr>
              <w:pStyle w:val="null3"/>
            </w:pPr>
            <w:r>
              <w:rPr>
                <w:rFonts w:ascii="仿宋_GB2312" w:hAnsi="仿宋_GB2312" w:cs="仿宋_GB2312" w:eastAsia="仿宋_GB2312"/>
              </w:rPr>
              <w:t>8.根据现场勘察情况，室外水泥路面拆除及绿化土方开挖按常规做法计入，详见清单描述；</w:t>
            </w:r>
          </w:p>
          <w:p>
            <w:pPr>
              <w:pStyle w:val="null3"/>
            </w:pPr>
            <w:r>
              <w:rPr>
                <w:rFonts w:ascii="仿宋_GB2312" w:hAnsi="仿宋_GB2312" w:cs="仿宋_GB2312" w:eastAsia="仿宋_GB2312"/>
              </w:rPr>
              <w:t>9.消控室设备拆除本次暂不考虑，最终具体位置由建设单位现场确定。</w:t>
            </w:r>
          </w:p>
          <w:p>
            <w:pPr>
              <w:pStyle w:val="null3"/>
            </w:pPr>
            <w:r>
              <w:rPr>
                <w:rFonts w:ascii="仿宋_GB2312" w:hAnsi="仿宋_GB2312" w:cs="仿宋_GB2312" w:eastAsia="仿宋_GB2312"/>
              </w:rPr>
              <w:t>三、图纸及工程量清单（详见附件）。</w:t>
            </w:r>
          </w:p>
          <w:p>
            <w:pPr>
              <w:pStyle w:val="null3"/>
            </w:pPr>
            <w:r>
              <w:rPr>
                <w:rFonts w:ascii="仿宋_GB2312" w:hAnsi="仿宋_GB2312" w:cs="仿宋_GB2312" w:eastAsia="仿宋_GB2312"/>
              </w:rPr>
              <w:t>四、商务要求</w:t>
            </w:r>
          </w:p>
          <w:p>
            <w:pPr>
              <w:pStyle w:val="null3"/>
            </w:pPr>
            <w:r>
              <w:rPr>
                <w:rFonts w:ascii="仿宋_GB2312" w:hAnsi="仿宋_GB2312" w:cs="仿宋_GB2312" w:eastAsia="仿宋_GB2312"/>
              </w:rPr>
              <w:t>1、工期：60日历天</w:t>
            </w:r>
          </w:p>
          <w:p>
            <w:pPr>
              <w:pStyle w:val="null3"/>
            </w:pPr>
            <w:r>
              <w:rPr>
                <w:rFonts w:ascii="仿宋_GB2312" w:hAnsi="仿宋_GB2312" w:cs="仿宋_GB2312" w:eastAsia="仿宋_GB2312"/>
              </w:rPr>
              <w:t>2、质保期：验收合格后24月。</w:t>
            </w:r>
          </w:p>
          <w:p>
            <w:pPr>
              <w:pStyle w:val="null3"/>
            </w:pPr>
            <w:r>
              <w:rPr>
                <w:rFonts w:ascii="仿宋_GB2312" w:hAnsi="仿宋_GB2312" w:cs="仿宋_GB2312" w:eastAsia="仿宋_GB2312"/>
              </w:rPr>
              <w:t>3、付款方式：</w:t>
            </w:r>
          </w:p>
          <w:p>
            <w:pPr>
              <w:pStyle w:val="null3"/>
            </w:pPr>
            <w:r>
              <w:rPr>
                <w:rFonts w:ascii="仿宋_GB2312" w:hAnsi="仿宋_GB2312" w:cs="仿宋_GB2312" w:eastAsia="仿宋_GB2312"/>
              </w:rPr>
              <w:t>本项目预付款为40%，待工程竣工验收合格后付至合同金额的80% ；经学校审计并出具审计报告后付至审定金额的97% ；剩余审定金额的3%作为质保金，本项目质保期为2年，质保期满后无质量问题一次性付清（不计利息）。</w:t>
            </w:r>
          </w:p>
          <w:p>
            <w:pPr>
              <w:pStyle w:val="null3"/>
            </w:pPr>
            <w:r>
              <w:rPr>
                <w:rFonts w:ascii="仿宋_GB2312" w:hAnsi="仿宋_GB2312" w:cs="仿宋_GB2312" w:eastAsia="仿宋_GB2312"/>
              </w:rPr>
              <w:t>4.雁塔校区目前消防控制室、消防水泵房均采用北大青鸟报警器、烟感探测器，消防改造完成后，能与原消防系统对接。</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达到国家相关规范要求，并取得属地住建消防等部门多方认可的合格评估论证意见函。</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2024年度经审计完整的财务审计报告（成立时间至提交磋商响应文件截止时间不足一年的可提供成立后任意时段的资产负债表），或其开标前三个月内基本存款账户开户银行出具的资信证明，或信用担保机构出具的投标担保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供应商应提交的相关资格证明文件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供应商须具备建设行政主管部门颁发的消防设施工程专业承包二级及以上资质，并具备有效的安全生产许可证；</w:t>
            </w:r>
          </w:p>
        </w:tc>
        <w:tc>
          <w:tcPr>
            <w:tcW w:type="dxa" w:w="1661"/>
          </w:tcPr>
          <w:p>
            <w:pPr>
              <w:pStyle w:val="null3"/>
            </w:pPr>
            <w:r>
              <w:rPr>
                <w:rFonts w:ascii="仿宋_GB2312" w:hAnsi="仿宋_GB2312" w:cs="仿宋_GB2312" w:eastAsia="仿宋_GB2312"/>
              </w:rPr>
              <w:t>供应商应提交的相关资格证明文件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w:t>
            </w:r>
          </w:p>
        </w:tc>
        <w:tc>
          <w:tcPr>
            <w:tcW w:type="dxa" w:w="3322"/>
          </w:tcPr>
          <w:p>
            <w:pPr>
              <w:pStyle w:val="null3"/>
            </w:pPr>
            <w:r>
              <w:rPr>
                <w:rFonts w:ascii="仿宋_GB2312" w:hAnsi="仿宋_GB2312" w:cs="仿宋_GB2312" w:eastAsia="仿宋_GB2312"/>
              </w:rPr>
              <w:t>拟派项目负责人需具备机电工程专业二级及以上注册建造师资格和有效的安全生产考核B证，必须为本公司注册人员，且无在建项目；</w:t>
            </w:r>
          </w:p>
        </w:tc>
        <w:tc>
          <w:tcPr>
            <w:tcW w:type="dxa" w:w="1661"/>
          </w:tcPr>
          <w:p>
            <w:pPr>
              <w:pStyle w:val="null3"/>
            </w:pPr>
            <w:r>
              <w:rPr>
                <w:rFonts w:ascii="仿宋_GB2312" w:hAnsi="仿宋_GB2312" w:cs="仿宋_GB2312" w:eastAsia="仿宋_GB2312"/>
              </w:rPr>
              <w:t>供应商应提交的相关资格证明文件 项目管理机构组成表 主要人员简历表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供应商未被列入“信用中国”（www.creditchina.gov.cn）记录的“严重失信主体名单”和“重大税收违法失信主体”名单；未被列入“中国政府采购网”（www.ccgp.gov.cn）中的“政府采购严重违法失信行为记录名单”；</w:t>
            </w:r>
          </w:p>
        </w:tc>
        <w:tc>
          <w:tcPr>
            <w:tcW w:type="dxa" w:w="1661"/>
          </w:tcPr>
          <w:p>
            <w:pPr>
              <w:pStyle w:val="null3"/>
            </w:pPr>
            <w:r>
              <w:rPr>
                <w:rFonts w:ascii="仿宋_GB2312" w:hAnsi="仿宋_GB2312" w:cs="仿宋_GB2312" w:eastAsia="仿宋_GB2312"/>
              </w:rPr>
              <w:t>供应商应提交的相关资格证明文件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人身份证，并与营业执照上信息一致。法定代表人授权代表参加磋商的，须出具法定代表人授权书及授权代表身份证、授权代表的养老保险缴纳证明或劳动合同；</w:t>
            </w:r>
          </w:p>
        </w:tc>
        <w:tc>
          <w:tcPr>
            <w:tcW w:type="dxa" w:w="1661"/>
          </w:tcPr>
          <w:p>
            <w:pPr>
              <w:pStyle w:val="null3"/>
            </w:pPr>
            <w:r>
              <w:rPr>
                <w:rFonts w:ascii="仿宋_GB2312" w:hAnsi="仿宋_GB2312" w:cs="仿宋_GB2312" w:eastAsia="仿宋_GB2312"/>
              </w:rPr>
              <w:t>供应商应提交的相关资格证明文件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供应商不得存在下列情形之一</w:t>
            </w:r>
          </w:p>
        </w:tc>
        <w:tc>
          <w:tcPr>
            <w:tcW w:type="dxa" w:w="3322"/>
          </w:tcPr>
          <w:p>
            <w:pPr>
              <w:pStyle w:val="null3"/>
            </w:pPr>
            <w:r>
              <w:rPr>
                <w:rFonts w:ascii="仿宋_GB2312" w:hAnsi="仿宋_GB2312" w:cs="仿宋_GB2312" w:eastAsia="仿宋_GB2312"/>
              </w:rPr>
              <w:t>（1）单位负责人为同一人或者存在直接控股、管理关系的不同供应商，不得参加本次采购活动； （2）为本项目提供整体设计、规范编制或者项目管理、监理、检测等服务的供应商，不得再参加本项目磋商；</w:t>
            </w:r>
          </w:p>
        </w:tc>
        <w:tc>
          <w:tcPr>
            <w:tcW w:type="dxa" w:w="1661"/>
          </w:tcPr>
          <w:p>
            <w:pPr>
              <w:pStyle w:val="null3"/>
            </w:pPr>
            <w:r>
              <w:rPr>
                <w:rFonts w:ascii="仿宋_GB2312" w:hAnsi="仿宋_GB2312" w:cs="仿宋_GB2312" w:eastAsia="仿宋_GB2312"/>
              </w:rPr>
              <w:t>供应商应提交的相关资格证明文件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技术服务合同条款及其他商务要求应答表 标的清单 强制优先采购产品承诺函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人身份证，并与营业执照上信息一致。法定代表人授权代表参加磋商的，须出具法定代表人授权书及授权代表身份证、授权代表的养老保险缴纳证明或劳动合同；</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不属于采购文件规定的无效情形</w:t>
            </w:r>
          </w:p>
        </w:tc>
        <w:tc>
          <w:tcPr>
            <w:tcW w:type="dxa" w:w="3322"/>
          </w:tcPr>
          <w:p>
            <w:pPr>
              <w:pStyle w:val="null3"/>
            </w:pPr>
            <w:r>
              <w:rPr>
                <w:rFonts w:ascii="仿宋_GB2312" w:hAnsi="仿宋_GB2312" w:cs="仿宋_GB2312" w:eastAsia="仿宋_GB2312"/>
              </w:rPr>
              <w:t>供应商按照采购文件要求上传响应文件</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报价未超预算或最高限价</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供应商提供（2022年11月1日至今）类似项目业绩，每提供1个得1分，最高得4分；业绩证明以合同或中标通知书为准，须在文件中附合同的复印件（或扫描件）或中标通知书复印件（或扫描件）加盖单位公章。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拟派项目经理学历、职称及业绩</w:t>
            </w:r>
          </w:p>
        </w:tc>
        <w:tc>
          <w:tcPr>
            <w:tcW w:type="dxa" w:w="2492"/>
          </w:tcPr>
          <w:p>
            <w:pPr>
              <w:pStyle w:val="null3"/>
            </w:pPr>
            <w:r>
              <w:rPr>
                <w:rFonts w:ascii="仿宋_GB2312" w:hAnsi="仿宋_GB2312" w:cs="仿宋_GB2312" w:eastAsia="仿宋_GB2312"/>
              </w:rPr>
              <w:t>1.拟派项目经理具备本科（含）以上学历的得2分，大专学历的得1分，其他情况不得分。 评审依据：以供应商提供的加盖公章的拟派项目经理学历证书的扫描件或复印件为准，提供多个学历或学位证书的，以最高学历为准，未提供的不得分。 2.拟派项目经理具备中级及以上职称的得4分，其他得2分，没有不得分。 评审依据：以供应商提供的加盖公章的拟派项目经理职称证书的扫描件或复印件为准，提供多个职称证书的，以最高职称为准，未提供的不得分。 3.供应商提供拟派项目理自2022年11月1日以来至今已完成的类似项目的业绩证明材料(在该项目中担任项目经理一职)提供1项的得4分，未提供的不得分。评审依据:类似业绩证明材料以合同及竣工验收资料为准。业绩时间以合同所体现的时间为准。缺少资料或未按照上述要求提供的，均按照0分计入。企业业绩和拟派项目经理业绩可重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拟派技术负责人执业资格、职称</w:t>
            </w:r>
          </w:p>
        </w:tc>
        <w:tc>
          <w:tcPr>
            <w:tcW w:type="dxa" w:w="2492"/>
          </w:tcPr>
          <w:p>
            <w:pPr>
              <w:pStyle w:val="null3"/>
            </w:pPr>
            <w:r>
              <w:rPr>
                <w:rFonts w:ascii="仿宋_GB2312" w:hAnsi="仿宋_GB2312" w:cs="仿宋_GB2312" w:eastAsia="仿宋_GB2312"/>
              </w:rPr>
              <w:t>1.拟派技术负责人具备机电工程专业二级及以上注册建造师资格和有效的安全生产考核B证得4分，缺少任何一项不得分。 评审依据：以供应商提供的加盖公章的拟派技术负责人注册建造师资格和有效的安全生产考核B证证书的扫描件或复印件为准，未提供的不得分。 2.拟派技术负责人具备中级及以上职称的得2分，没有不得分。 评审依据：以供应商提供的加盖公章的拟派技术负责人职称证书的扫描件或复印件为准，提供多个职称证书的，以最高职称为准，未提供的不得分。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有完善、针对性强、切实可行的实施方案。 1.方案内容完整详尽、科学合理、切实可行、针对性强，完全满足施工要求得5分； 2.方案基本完整、较合理可行、针对性不强、基本满足施工要求得3分； 3.方案简单、不能完全满足施工要求得1分； 4.未提供得0分。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有符合本项目工程的质量管理目标和质量管理制度、主要工序的质量技术保证措施和手段。措施是否完备齐全、先进、合理、切实可行。 1.方案及措施内容完整详尽、科学合理、切实可行、针对性强，完全满足施工要求得5分； 2.方案及措施基本完整、较合理可行、针对性不强、基本满足施工要求得3分； 3.方案及措施简单、不能完全满足施工要求得1分； 4.未提供得0分。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w:t>
            </w:r>
          </w:p>
        </w:tc>
      </w:tr>
      <w:tr>
        <w:tc>
          <w:tcPr>
            <w:tcW w:type="dxa" w:w="831"/>
            <w:vMerge/>
          </w:tcPr>
          <w:p/>
        </w:tc>
        <w:tc>
          <w:tcPr>
            <w:tcW w:type="dxa" w:w="1661"/>
          </w:tcPr>
          <w:p>
            <w:pPr>
              <w:pStyle w:val="null3"/>
            </w:pPr>
            <w:r>
              <w:rPr>
                <w:rFonts w:ascii="仿宋_GB2312" w:hAnsi="仿宋_GB2312" w:cs="仿宋_GB2312" w:eastAsia="仿宋_GB2312"/>
              </w:rPr>
              <w:t>项目组织机构及项目经理部组成人员</w:t>
            </w:r>
          </w:p>
        </w:tc>
        <w:tc>
          <w:tcPr>
            <w:tcW w:type="dxa" w:w="2492"/>
          </w:tcPr>
          <w:p>
            <w:pPr>
              <w:pStyle w:val="null3"/>
            </w:pPr>
            <w:r>
              <w:rPr>
                <w:rFonts w:ascii="仿宋_GB2312" w:hAnsi="仿宋_GB2312" w:cs="仿宋_GB2312" w:eastAsia="仿宋_GB2312"/>
              </w:rPr>
              <w:t>人员齐备、专业配套、相关岗位证书齐全。 1.项目经理及项目部人员配备齐全、专业配套、相关岗位证书齐全，满足项目实际要求得5分； 2.项目经理及项目部人员配备较合理、专业配套、相关岗位证书较齐全，基本满足项目实际要求得3分； 3.项目经理及项目部人员配备不够齐全得1分； 4.未提供得0分。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w:t>
            </w:r>
          </w:p>
        </w:tc>
      </w:tr>
      <w:tr>
        <w:tc>
          <w:tcPr>
            <w:tcW w:type="dxa" w:w="831"/>
            <w:vMerge/>
          </w:tcPr>
          <w:p/>
        </w:tc>
        <w:tc>
          <w:tcPr>
            <w:tcW w:type="dxa" w:w="1661"/>
          </w:tcPr>
          <w:p>
            <w:pPr>
              <w:pStyle w:val="null3"/>
            </w:pPr>
            <w:r>
              <w:rPr>
                <w:rFonts w:ascii="仿宋_GB2312" w:hAnsi="仿宋_GB2312" w:cs="仿宋_GB2312" w:eastAsia="仿宋_GB2312"/>
              </w:rPr>
              <w:t>劳动力安排计划及劳务分包情况表</w:t>
            </w:r>
          </w:p>
        </w:tc>
        <w:tc>
          <w:tcPr>
            <w:tcW w:type="dxa" w:w="2492"/>
          </w:tcPr>
          <w:p>
            <w:pPr>
              <w:pStyle w:val="null3"/>
            </w:pPr>
            <w:r>
              <w:rPr>
                <w:rFonts w:ascii="仿宋_GB2312" w:hAnsi="仿宋_GB2312" w:cs="仿宋_GB2312" w:eastAsia="仿宋_GB2312"/>
              </w:rPr>
              <w:t>劳动力安排合理妥当，时间安排合理满足施工需求。 1.方案内容完整详尽、科学合理、切实可行、针对性强，完全满足施工要求得5分； 2.方案基本完整、较合理可行、针对性不强、基本满足施工要求得3分； 3.方案简单、不能完全满足施工要求得1分； 4.未提供得0分。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w:t>
            </w:r>
          </w:p>
        </w:tc>
      </w:tr>
      <w:tr>
        <w:tc>
          <w:tcPr>
            <w:tcW w:type="dxa" w:w="831"/>
            <w:vMerge/>
          </w:tcPr>
          <w:p/>
        </w:tc>
        <w:tc>
          <w:tcPr>
            <w:tcW w:type="dxa" w:w="1661"/>
          </w:tcPr>
          <w:p>
            <w:pPr>
              <w:pStyle w:val="null3"/>
            </w:pPr>
            <w:r>
              <w:rPr>
                <w:rFonts w:ascii="仿宋_GB2312" w:hAnsi="仿宋_GB2312" w:cs="仿宋_GB2312" w:eastAsia="仿宋_GB2312"/>
              </w:rPr>
              <w:t>工程进度计划与措施</w:t>
            </w:r>
          </w:p>
        </w:tc>
        <w:tc>
          <w:tcPr>
            <w:tcW w:type="dxa" w:w="2492"/>
          </w:tcPr>
          <w:p>
            <w:pPr>
              <w:pStyle w:val="null3"/>
            </w:pPr>
            <w:r>
              <w:rPr>
                <w:rFonts w:ascii="仿宋_GB2312" w:hAnsi="仿宋_GB2312" w:cs="仿宋_GB2312" w:eastAsia="仿宋_GB2312"/>
              </w:rPr>
              <w:t>工程进度计划与措施，安排科学合理符合本项目施工实际要求。 1.方案内容完整详尽、科学合理、切实可行、针对性强，完全满足施工要求得5分； 2.方案基本完整、较合理可行、针对性不强、基本满足施工要求得3分； 3.方案简单、不能完全满足施工要求得1分； 4.未提供得0分。 注：上述内容有缺失的应酌情扣分，此项最少得0分。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w:t>
            </w:r>
          </w:p>
        </w:tc>
      </w:tr>
      <w:tr>
        <w:tc>
          <w:tcPr>
            <w:tcW w:type="dxa" w:w="831"/>
            <w:vMerge/>
          </w:tcPr>
          <w:p/>
        </w:tc>
        <w:tc>
          <w:tcPr>
            <w:tcW w:type="dxa" w:w="1661"/>
          </w:tcPr>
          <w:p>
            <w:pPr>
              <w:pStyle w:val="null3"/>
            </w:pPr>
            <w:r>
              <w:rPr>
                <w:rFonts w:ascii="仿宋_GB2312" w:hAnsi="仿宋_GB2312" w:cs="仿宋_GB2312" w:eastAsia="仿宋_GB2312"/>
              </w:rPr>
              <w:t>质量管理体系与措施</w:t>
            </w:r>
          </w:p>
        </w:tc>
        <w:tc>
          <w:tcPr>
            <w:tcW w:type="dxa" w:w="2492"/>
          </w:tcPr>
          <w:p>
            <w:pPr>
              <w:pStyle w:val="null3"/>
            </w:pPr>
            <w:r>
              <w:rPr>
                <w:rFonts w:ascii="仿宋_GB2312" w:hAnsi="仿宋_GB2312" w:cs="仿宋_GB2312" w:eastAsia="仿宋_GB2312"/>
              </w:rPr>
              <w:t>有符合本项目工程的质量管理目标和质量管理制度、主要工序的质量技术保证措施和手段。措施是否完备齐全、先进、合理、切实可行。 1.方案及措施内容完整详尽、科学合理、切实可行、针对性强，完全满足施工要求得5分； 2.方案及措施基本完整、较合理可行、针对性不强、基本满足施工要求得3分； 3.方案及措施简单、不能完全满足施工要求得1分； 4.未提供得0分。 注：上述内容有缺失的应酌情扣分，此项最少得0分。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w:t>
            </w:r>
          </w:p>
        </w:tc>
      </w:tr>
      <w:tr>
        <w:tc>
          <w:tcPr>
            <w:tcW w:type="dxa" w:w="831"/>
            <w:vMerge/>
          </w:tcPr>
          <w:p/>
        </w:tc>
        <w:tc>
          <w:tcPr>
            <w:tcW w:type="dxa" w:w="1661"/>
          </w:tcPr>
          <w:p>
            <w:pPr>
              <w:pStyle w:val="null3"/>
            </w:pPr>
            <w:r>
              <w:rPr>
                <w:rFonts w:ascii="仿宋_GB2312" w:hAnsi="仿宋_GB2312" w:cs="仿宋_GB2312" w:eastAsia="仿宋_GB2312"/>
              </w:rPr>
              <w:t>安全管理体系与措施</w:t>
            </w:r>
          </w:p>
        </w:tc>
        <w:tc>
          <w:tcPr>
            <w:tcW w:type="dxa" w:w="2492"/>
          </w:tcPr>
          <w:p>
            <w:pPr>
              <w:pStyle w:val="null3"/>
            </w:pPr>
            <w:r>
              <w:rPr>
                <w:rFonts w:ascii="仿宋_GB2312" w:hAnsi="仿宋_GB2312" w:cs="仿宋_GB2312" w:eastAsia="仿宋_GB2312"/>
              </w:rPr>
              <w:t>安全管理人员配备合理，制度健全，各道工序安全技术措施针对性强，符合实际且满足要求措施是否完备齐全、先进、合理、切实可行。 1.方案及措施内容完整详尽、科学合理、切实可行、针对性强，完全满足施工要求得5分； 2.方案及措施基本完整、较合理可行、针对性不强、基本满足施工要求得3分； 3.方案及措施简单、不能完全满足施工要求得1分； 4.未提供得0分。 注：上述内容有缺失的应酌情扣分，此项最少得0分。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w:t>
            </w:r>
          </w:p>
        </w:tc>
      </w:tr>
      <w:tr>
        <w:tc>
          <w:tcPr>
            <w:tcW w:type="dxa" w:w="831"/>
            <w:vMerge/>
          </w:tcPr>
          <w:p/>
        </w:tc>
        <w:tc>
          <w:tcPr>
            <w:tcW w:type="dxa" w:w="1661"/>
          </w:tcPr>
          <w:p>
            <w:pPr>
              <w:pStyle w:val="null3"/>
            </w:pPr>
            <w:r>
              <w:rPr>
                <w:rFonts w:ascii="仿宋_GB2312" w:hAnsi="仿宋_GB2312" w:cs="仿宋_GB2312" w:eastAsia="仿宋_GB2312"/>
              </w:rPr>
              <w:t>文明施工及环境保护管理措施</w:t>
            </w:r>
          </w:p>
        </w:tc>
        <w:tc>
          <w:tcPr>
            <w:tcW w:type="dxa" w:w="2492"/>
          </w:tcPr>
          <w:p>
            <w:pPr>
              <w:pStyle w:val="null3"/>
            </w:pPr>
            <w:r>
              <w:rPr>
                <w:rFonts w:ascii="仿宋_GB2312" w:hAnsi="仿宋_GB2312" w:cs="仿宋_GB2312" w:eastAsia="仿宋_GB2312"/>
              </w:rPr>
              <w:t>有现场文明施工计划和环境保护措施，且各项措施周全、具体、有效。 1.方案及措施内容完整详尽、科学合理、切实可行、针对性强，完全满足施工要求得5分； 2.方案及措施基本完整、较合理可行、针对性不强、基本满足施工要求得3分； 3.方案及措施简单、不能完全满足施工要求得1分； 4.未提供得0分。注：上述内容有缺失的应酌情扣分，此项最少得0分。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w:t>
            </w:r>
          </w:p>
        </w:tc>
      </w:tr>
      <w:tr>
        <w:tc>
          <w:tcPr>
            <w:tcW w:type="dxa" w:w="831"/>
            <w:vMerge/>
          </w:tcPr>
          <w:p/>
        </w:tc>
        <w:tc>
          <w:tcPr>
            <w:tcW w:type="dxa" w:w="1661"/>
          </w:tcPr>
          <w:p>
            <w:pPr>
              <w:pStyle w:val="null3"/>
            </w:pPr>
            <w:r>
              <w:rPr>
                <w:rFonts w:ascii="仿宋_GB2312" w:hAnsi="仿宋_GB2312" w:cs="仿宋_GB2312" w:eastAsia="仿宋_GB2312"/>
              </w:rPr>
              <w:t>施工机械配备</w:t>
            </w:r>
          </w:p>
        </w:tc>
        <w:tc>
          <w:tcPr>
            <w:tcW w:type="dxa" w:w="2492"/>
          </w:tcPr>
          <w:p>
            <w:pPr>
              <w:pStyle w:val="null3"/>
            </w:pPr>
            <w:r>
              <w:rPr>
                <w:rFonts w:ascii="仿宋_GB2312" w:hAnsi="仿宋_GB2312" w:cs="仿宋_GB2312" w:eastAsia="仿宋_GB2312"/>
              </w:rPr>
              <w:t>投入的施工机械、设备、机具有详细计划，设备数量、选型配置、进场数量、时间安排合理满足施工需求。 1.投入的施工机械、设备具有详细计划，设备数量、选型配置、进场数量、时间安排合理满足施工需求得4分； 2.投入的施工机械、设备具有较完整的计划，设备数量、选型配置、进场数量、时间安排较满足施工需求得3分； 3.投入的施工机械、设备计划简单，不能完全满足施工需求得1分； 4.未提供得0分。注：上述内容有缺失的应酌情扣分，此项最少得0分。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施工进度表或施工网络图，安排科学合理符合本项目施工实际要求。 1.方案内容完整详尽、科学合理、切实可行、针对性强，完全满足施工要求得4分； 2.方案基本完整、较合理可行、针对性不强、基本满足施工要求得3分； 3.方案简单、不能完全满足施工要求得1分； 4.未提供得0分。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w:t>
            </w:r>
          </w:p>
        </w:tc>
      </w:tr>
      <w:tr>
        <w:tc>
          <w:tcPr>
            <w:tcW w:type="dxa" w:w="831"/>
            <w:vMerge/>
          </w:tcPr>
          <w:p/>
        </w:tc>
        <w:tc>
          <w:tcPr>
            <w:tcW w:type="dxa" w:w="1661"/>
          </w:tcPr>
          <w:p>
            <w:pPr>
              <w:pStyle w:val="null3"/>
            </w:pPr>
            <w:r>
              <w:rPr>
                <w:rFonts w:ascii="仿宋_GB2312" w:hAnsi="仿宋_GB2312" w:cs="仿宋_GB2312" w:eastAsia="仿宋_GB2312"/>
              </w:rPr>
              <w:t>新技术、新产品、新工艺、新材料应用</w:t>
            </w:r>
          </w:p>
        </w:tc>
        <w:tc>
          <w:tcPr>
            <w:tcW w:type="dxa" w:w="2492"/>
          </w:tcPr>
          <w:p>
            <w:pPr>
              <w:pStyle w:val="null3"/>
            </w:pPr>
            <w:r>
              <w:rPr>
                <w:rFonts w:ascii="仿宋_GB2312" w:hAnsi="仿宋_GB2312" w:cs="仿宋_GB2312" w:eastAsia="仿宋_GB2312"/>
              </w:rPr>
              <w:t>施工单位应用的技术、产品、工艺、材料等先进科学，并有合理的施工现场扬尘预防措施。 1.方案及措施内容完整详尽、科学合理、切实可行、针对性强，完全满足施工要求得2分； 2.方案及措施基本完整、较合理可行、针对性不强、基本满足施工要求得1分； 3.未提供得0分。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满足磋商文件要求且最后的磋商报价最低的投标价为评审基准价，其价格分为满分。 磋商报价得分=（评审基准价/磋商报价）×30。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详见附件：方案</w:t>
      </w:r>
    </w:p>
    <w:p>
      <w:pPr>
        <w:pStyle w:val="null3"/>
        <w:ind w:firstLine="960"/>
      </w:pPr>
      <w:r>
        <w:rPr>
          <w:rFonts w:ascii="仿宋_GB2312" w:hAnsi="仿宋_GB2312" w:cs="仿宋_GB2312" w:eastAsia="仿宋_GB2312"/>
        </w:rPr>
        <w:t>详见附件：其他资料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