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仿宋_GB2312" w:hAnsi="仿宋_GB2312" w:eastAsia="仿宋_GB2312" w:cs="仿宋_GB2312"/>
          <w:sz w:val="32"/>
          <w:szCs w:val="32"/>
        </w:rPr>
      </w:pPr>
      <w:r>
        <w:rPr>
          <w:rFonts w:hint="eastAsia" w:ascii="仿宋_GB2312" w:hAnsi="仿宋_GB2312" w:eastAsia="仿宋_GB2312" w:cs="仿宋_GB2312"/>
          <w:bCs w:val="0"/>
          <w:kern w:val="2"/>
          <w:sz w:val="32"/>
          <w:szCs w:val="32"/>
        </w:rPr>
        <w:t>合同范本</w:t>
      </w:r>
    </w:p>
    <w:p w14:paraId="5E5C5BBA">
      <w:pPr>
        <w:snapToGrid w:val="0"/>
        <w:spacing w:line="360" w:lineRule="auto"/>
        <w:rPr>
          <w:rFonts w:hint="eastAsia" w:ascii="仿宋_GB2312" w:hAnsi="仿宋_GB2312" w:eastAsia="仿宋_GB2312" w:cs="仿宋_GB2312"/>
          <w:color w:val="000000"/>
          <w:sz w:val="32"/>
          <w:szCs w:val="32"/>
        </w:rPr>
      </w:pPr>
    </w:p>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2"/>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（三）合同设备总价一次性包死，不受市场价格变化因素的影响。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（四）配置清单见附页：共</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页。</w:t>
      </w:r>
    </w:p>
    <w:p w14:paraId="2EDE1418">
      <w:pPr>
        <w:snapToGrid w:val="0"/>
        <w:spacing w:line="500" w:lineRule="exact"/>
        <w:ind w:left="44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第三条  款项结算</w:t>
      </w:r>
    </w:p>
    <w:p w14:paraId="5DB68E95">
      <w:pPr>
        <w:pStyle w:val="2"/>
        <w:spacing w:line="500" w:lineRule="exact"/>
        <w:ind w:firstLine="48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（一）结算单位：采购人结算，在付款前，必须开具等额发票给采购人。</w:t>
      </w:r>
    </w:p>
    <w:p w14:paraId="2221F511">
      <w:pPr>
        <w:pStyle w:val="2"/>
        <w:spacing w:line="500" w:lineRule="exact"/>
        <w:ind w:firstLine="480" w:firstLineChars="200"/>
        <w:rPr>
          <w:rFonts w:hint="eastAsia" w:ascii="仿宋_GB2312" w:hAnsi="仿宋_GB2312" w:eastAsia="仿宋_GB2312" w:cs="仿宋_GB2312"/>
          <w:color w:val="000000"/>
          <w:highlight w:val="yellow"/>
        </w:rPr>
      </w:pPr>
      <w:r>
        <w:rPr>
          <w:rFonts w:hint="eastAsia" w:ascii="仿宋_GB2312" w:hAnsi="仿宋_GB2312" w:eastAsia="仿宋_GB2312" w:cs="仿宋_GB2312"/>
          <w:color w:val="000000"/>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rPr>
        <w:t>设备全部到货（因甲方场地等原因无法安装，以到货时间计算）或设备全部验收合格后 60日支付。</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乙方账户信息：</w:t>
      </w:r>
      <w:r>
        <w:rPr>
          <w:rFonts w:hint="eastAsia" w:ascii="仿宋_GB2312" w:hAnsi="仿宋_GB2312" w:eastAsia="仿宋_GB2312" w:cs="仿宋_GB2312"/>
          <w:color w:val="000000"/>
          <w:sz w:val="24"/>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如需更改账户或现金支付时，必须向甲方出具乙方公司授权的证明。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77A4D1E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乙方所供设备必须执行下列条款：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（二）设备符合国家有关规范要求，确保整个设备达到最佳运行状态。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（三）各种设备具有良好的外观，适合安装场所的使用。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（四）设备自安装、调试正常运行并验收合格之日起，免费保修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个工作日内，如出现质量问题，可以选择换货或退货。设备自安装、调试正常运行并验收合格之日起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1、设备合格证明；</w:t>
      </w:r>
    </w:p>
    <w:p w14:paraId="630701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2、设备使用说明书；（中英文）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3、进口设备报关单；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77616F3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1、安装调试：   </w:t>
      </w:r>
    </w:p>
    <w:p w14:paraId="10C2F86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乙方专业人员对甲方购买的设备进行货用现场安装和调试。</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（1）安装调试技术人员免费现场操作培训，包括介绍仪器操作、日常保养及维护方法；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4、响应时间：</w:t>
      </w:r>
    </w:p>
    <w:p w14:paraId="3509A898">
      <w:pPr>
        <w:snapToGrid w:val="0"/>
        <w:spacing w:line="500" w:lineRule="exact"/>
        <w:ind w:left="921" w:leftChars="267" w:hanging="360" w:hangingChars="15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p>
    <w:p w14:paraId="1FA6D238">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3.其它不可抗拒因素（如：地震、火灾、电网事故等）引起的机器损害。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按照订货产品的硬件配置参数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（三）乙方向甲方提交设备实施过程中的所有资料。以便甲方日后管理和维护。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2"/>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设备配置清单</w:t>
      </w:r>
    </w:p>
    <w:p w14:paraId="5FA82CF7">
      <w:pPr>
        <w:rPr>
          <w:rFonts w:hint="eastAsia" w:ascii="仿宋_GB2312" w:hAnsi="仿宋_GB2312" w:eastAsia="仿宋_GB2312" w:cs="仿宋_GB2312"/>
        </w:rPr>
      </w:pPr>
    </w:p>
    <w:p w14:paraId="77BDD99D">
      <w:pPr>
        <w:pStyle w:val="6"/>
      </w:pPr>
    </w:p>
    <w:p w14:paraId="7479D313">
      <w:pPr>
        <w:pStyle w:val="6"/>
        <w:rPr>
          <w:rFonts w:hint="eastAsia"/>
          <w:lang w:val="en-US" w:eastAsia="zh-Hans"/>
        </w:rPr>
      </w:pPr>
    </w:p>
    <w:p w14:paraId="2571549B">
      <w:pPr>
        <w:pStyle w:val="6"/>
        <w:rPr>
          <w:rFonts w:hint="eastAsia"/>
          <w:lang w:val="en-US" w:eastAsia="zh-Hans"/>
        </w:rPr>
      </w:pPr>
    </w:p>
    <w:p w14:paraId="6D01E961">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3"/>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B85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2025-12-01T07:19:38Z</dcterms:created>
  <dc:creator>Administrator</dc:creator>
  <cp:lastModifiedBy>夏日微凉</cp:lastModifiedBy>
  <dcterms:modified xsi:type="dcterms:W3CDTF">2025-12-01T07:20:08Z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C14A0BEA80DD460492B0944D740972BD_12</vt:lpwstr>
  </property>
</Properties>
</file>