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版本号：DRZB2025-ZC-19820251201001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全国无线电管理信息专网租赁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DRZB2025-ZC-198</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全国无线电管理信息专网租赁</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全国无线电管理信息专网租赁</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全国无线电管理信息专网租赁，具体详见招标文件及内容。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负责人授权委托书：法定代表人/负责人直接参加投标的，须出具法定代表人/负责人身份证明书及身份证；授权代表参加投标的，须出具法定代表人/负责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关联承诺：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备注：若投标人是总公司授权的分公司参与投标，只接受总公司授权的一家分公司参与投标（说明：若总公司与分公司同时参与本项目投标或总公司授权两家及以上分公司同时参与本项目投标，相关响应均按无效响应处理）；（提供授权书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采购包1保证金金额：18,198.00元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按照“服务类”项目的取费标准，以中标(成交)价为基数计算，按照标准收取。招标代理服务费由成交供应商向采购代理机构支付。代理费缴纳账户：银行户名：陕西德仁招标有限公司 开户银行：招商银行股份有限公司西安城南支行 账 号：1299 0904 6810 901联系人：苏会计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满足采购人及招标文件规范标准要求。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全国无线电管理信息专网租赁，具体详见招标文件及内容。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940,000.00</w:t>
      </w:r>
    </w:p>
    <w:p>
      <w:pPr>
        <w:pStyle w:val="null3"/>
      </w:pPr>
      <w:r>
        <w:rPr>
          <w:rFonts w:ascii="仿宋_GB2312" w:hAnsi="仿宋_GB2312" w:cs="仿宋_GB2312" w:eastAsia="仿宋_GB2312"/>
        </w:rPr>
        <w:t>采购包最高限价（元）: 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全国无线电管理信息专网租赁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标的名称：全国无线电管理信息专网租赁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rPr>
              <w:t>一、项目背景</w:t>
            </w:r>
          </w:p>
          <w:p>
            <w:pPr>
              <w:pStyle w:val="null3"/>
            </w:pPr>
            <w:r>
              <w:rPr>
                <w:rFonts w:ascii="仿宋_GB2312" w:hAnsi="仿宋_GB2312" w:cs="仿宋_GB2312" w:eastAsia="仿宋_GB2312"/>
              </w:rPr>
              <w:t>按照“十三五”工程建设需求和《工业和信息化部无线电管理局关于无线电管理信息网升级改造的通知》（工无函［2020］257号）要求，国家无线电监测中心、国家无线电频谱管理中心（以下简称监测中心）在各省（区、市）无线电管理机构的配合支持下，于2020年开展了信息专网的升级改造工作，信息专网骨干网从“国家监测中心﹣省级机构”星型网络架构升级为“国家监测中心﹣区域分中心﹣省级机构”三层网络架构。信息专网以国家监测中心作为核心节点，北京、哈尔滨、上海、深圳、成都作为区域分中心节点，各省机构根据区域分布、线路延时等特点接入各区域分中心节点。</w:t>
            </w:r>
          </w:p>
          <w:p>
            <w:pPr>
              <w:pStyle w:val="null3"/>
            </w:pPr>
            <w:r>
              <w:rPr>
                <w:rFonts w:ascii="仿宋_GB2312" w:hAnsi="仿宋_GB2312" w:cs="仿宋_GB2312" w:eastAsia="仿宋_GB2312"/>
              </w:rPr>
              <w:t>本次将继续采购租用陕西省无线电管理委员会（陕西西安市南二环西段老三届世纪星大厦）至北京分中心（北京西城区北礼士路80号）MSTP专线，链路专线传输带宽100Mbps。</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1服务指标</w:t>
            </w:r>
          </w:p>
          <w:p>
            <w:pPr>
              <w:pStyle w:val="null3"/>
            </w:pPr>
            <w:r>
              <w:rPr>
                <w:rFonts w:ascii="仿宋_GB2312" w:hAnsi="仿宋_GB2312" w:cs="仿宋_GB2312" w:eastAsia="仿宋_GB2312"/>
              </w:rPr>
              <w:t>1.1线路技术指标</w:t>
            </w:r>
          </w:p>
          <w:p>
            <w:pPr>
              <w:pStyle w:val="null3"/>
            </w:pPr>
            <w:r>
              <w:rPr>
                <w:rFonts w:ascii="仿宋_GB2312" w:hAnsi="仿宋_GB2312" w:cs="仿宋_GB2312" w:eastAsia="仿宋_GB2312"/>
              </w:rPr>
              <w:t>（1）提供MSTP等类型电路专线接入服务；</w:t>
            </w:r>
          </w:p>
          <w:p>
            <w:pPr>
              <w:pStyle w:val="null3"/>
            </w:pPr>
            <w:r>
              <w:rPr>
                <w:rFonts w:ascii="仿宋_GB2312" w:hAnsi="仿宋_GB2312" w:cs="仿宋_GB2312" w:eastAsia="仿宋_GB2312"/>
              </w:rPr>
              <w:t>（2）电路可用率≥99.9%；</w:t>
            </w:r>
          </w:p>
          <w:p>
            <w:pPr>
              <w:pStyle w:val="null3"/>
            </w:pPr>
            <w:r>
              <w:rPr>
                <w:rFonts w:ascii="仿宋_GB2312" w:hAnsi="仿宋_GB2312" w:cs="仿宋_GB2312" w:eastAsia="仿宋_GB2312"/>
              </w:rPr>
              <w:t>（3）误码率≤10E-7 或丢包率≤0.1%；</w:t>
            </w:r>
          </w:p>
          <w:p>
            <w:pPr>
              <w:pStyle w:val="null3"/>
            </w:pPr>
            <w:r>
              <w:rPr>
                <w:rFonts w:ascii="仿宋_GB2312" w:hAnsi="仿宋_GB2312" w:cs="仿宋_GB2312" w:eastAsia="仿宋_GB2312"/>
              </w:rPr>
              <w:t>（4）本地线路延时≤10ms；</w:t>
            </w:r>
          </w:p>
          <w:p>
            <w:pPr>
              <w:pStyle w:val="null3"/>
            </w:pPr>
            <w:r>
              <w:rPr>
                <w:rFonts w:ascii="仿宋_GB2312" w:hAnsi="仿宋_GB2312" w:cs="仿宋_GB2312" w:eastAsia="仿宋_GB2312"/>
              </w:rPr>
              <w:t>（5）长途链路每100公里的延时增加≤1ms；</w:t>
            </w:r>
          </w:p>
          <w:p>
            <w:pPr>
              <w:pStyle w:val="null3"/>
            </w:pPr>
            <w:r>
              <w:rPr>
                <w:rFonts w:ascii="仿宋_GB2312" w:hAnsi="仿宋_GB2312" w:cs="仿宋_GB2312" w:eastAsia="仿宋_GB2312"/>
              </w:rPr>
              <w:t>（6）具备二次透传VLAN功能；</w:t>
            </w:r>
          </w:p>
          <w:p>
            <w:pPr>
              <w:pStyle w:val="null3"/>
            </w:pPr>
            <w:r>
              <w:rPr>
                <w:rFonts w:ascii="仿宋_GB2312" w:hAnsi="仿宋_GB2312" w:cs="仿宋_GB2312" w:eastAsia="仿宋_GB2312"/>
              </w:rPr>
              <w:t>（7）单次中断时间不超过60分钟；</w:t>
            </w:r>
          </w:p>
          <w:p>
            <w:pPr>
              <w:pStyle w:val="null3"/>
            </w:pPr>
            <w:r>
              <w:rPr>
                <w:rFonts w:ascii="仿宋_GB2312" w:hAnsi="仿宋_GB2312" w:cs="仿宋_GB2312" w:eastAsia="仿宋_GB2312"/>
              </w:rPr>
              <w:t>（8）提供7*24小时的故障申告受理服务；</w:t>
            </w:r>
          </w:p>
          <w:p>
            <w:pPr>
              <w:pStyle w:val="null3"/>
            </w:pPr>
            <w:r>
              <w:rPr>
                <w:rFonts w:ascii="仿宋_GB2312" w:hAnsi="仿宋_GB2312" w:cs="仿宋_GB2312" w:eastAsia="仿宋_GB2312"/>
              </w:rPr>
              <w:t>（9）故障响应时间≤30分钟；</w:t>
            </w:r>
          </w:p>
          <w:p>
            <w:pPr>
              <w:pStyle w:val="null3"/>
            </w:pPr>
            <w:r>
              <w:rPr>
                <w:rFonts w:ascii="仿宋_GB2312" w:hAnsi="仿宋_GB2312" w:cs="仿宋_GB2312" w:eastAsia="仿宋_GB2312"/>
              </w:rPr>
              <w:t>1.2服务技术指标</w:t>
            </w:r>
          </w:p>
          <w:p>
            <w:pPr>
              <w:pStyle w:val="null3"/>
            </w:pPr>
            <w:r>
              <w:rPr>
                <w:rFonts w:ascii="仿宋_GB2312" w:hAnsi="仿宋_GB2312" w:cs="仿宋_GB2312" w:eastAsia="仿宋_GB2312"/>
              </w:rPr>
              <w:t>（1）服务持续性要求：通过技术手段和各项运维措施，达到服务技术指标中对线路服务质量的要求，避免因线路问题导致网络承载业务系统无法访问。</w:t>
            </w:r>
          </w:p>
          <w:p>
            <w:pPr>
              <w:pStyle w:val="null3"/>
            </w:pPr>
            <w:r>
              <w:rPr>
                <w:rFonts w:ascii="仿宋_GB2312" w:hAnsi="仿宋_GB2312" w:cs="仿宋_GB2312" w:eastAsia="仿宋_GB2312"/>
              </w:rPr>
              <w:t>（2）按时交付要求：在规定的履约时间内完成项目建设，提供各项服务。</w:t>
            </w:r>
          </w:p>
          <w:p>
            <w:pPr>
              <w:pStyle w:val="null3"/>
            </w:pPr>
            <w:r>
              <w:rPr>
                <w:rFonts w:ascii="仿宋_GB2312" w:hAnsi="仿宋_GB2312" w:cs="仿宋_GB2312" w:eastAsia="仿宋_GB2312"/>
              </w:rPr>
              <w:t>（3）故障处理与应急响应要求:根据最终项目交付成果，提供完善的故障处理与应急响应机制，包括处理流程、反馈机制、与处理报告等内容。</w:t>
            </w:r>
          </w:p>
          <w:p>
            <w:pPr>
              <w:pStyle w:val="null3"/>
            </w:pPr>
            <w:r>
              <w:rPr>
                <w:rFonts w:ascii="仿宋_GB2312" w:hAnsi="仿宋_GB2312" w:cs="仿宋_GB2312" w:eastAsia="仿宋_GB2312"/>
              </w:rPr>
              <w:t>（4）故障响应率要求:提供7×24小时的故障响应服务，响应率100%。</w:t>
            </w:r>
          </w:p>
          <w:p>
            <w:pPr>
              <w:pStyle w:val="null3"/>
            </w:pPr>
            <w:r>
              <w:rPr>
                <w:rFonts w:ascii="仿宋_GB2312" w:hAnsi="仿宋_GB2312" w:cs="仿宋_GB2312" w:eastAsia="仿宋_GB2312"/>
              </w:rPr>
              <w:t>（5）响应时间要求:提供快速响应服务和安全事件处置服务，针对提供的网络及配套支撑服务，因意外事故出现紧急情况时，所有服务节点的响应时间≤15分钟，到达故障现场时间≤2小时。降低事件造成的损失，避免事件的扩大化，针对该要求，制定响应方案，确保在所有节点能够快速响应，最短时间到达故障现场。</w:t>
            </w:r>
          </w:p>
          <w:p>
            <w:pPr>
              <w:pStyle w:val="null3"/>
            </w:pPr>
            <w:r>
              <w:rPr>
                <w:rFonts w:ascii="仿宋_GB2312" w:hAnsi="仿宋_GB2312" w:cs="仿宋_GB2312" w:eastAsia="仿宋_GB2312"/>
              </w:rPr>
              <w:t>（6）故障平均修复时间要求：</w:t>
            </w:r>
          </w:p>
          <w:p>
            <w:pPr>
              <w:pStyle w:val="null3"/>
            </w:pPr>
            <w:r>
              <w:rPr>
                <w:rFonts w:ascii="仿宋_GB2312" w:hAnsi="仿宋_GB2312" w:cs="仿宋_GB2312" w:eastAsia="仿宋_GB2312"/>
              </w:rPr>
              <w:t>一级故障：≤2小时（网络中断或业务无法正常使用）；</w:t>
            </w:r>
          </w:p>
          <w:p>
            <w:pPr>
              <w:pStyle w:val="null3"/>
            </w:pPr>
            <w:r>
              <w:rPr>
                <w:rFonts w:ascii="仿宋_GB2312" w:hAnsi="仿宋_GB2312" w:cs="仿宋_GB2312" w:eastAsia="仿宋_GB2312"/>
              </w:rPr>
              <w:t>二级故障：≤4小时（非核心/重要网络中断）；</w:t>
            </w:r>
          </w:p>
          <w:p>
            <w:pPr>
              <w:pStyle w:val="null3"/>
            </w:pPr>
            <w:r>
              <w:rPr>
                <w:rFonts w:ascii="仿宋_GB2312" w:hAnsi="仿宋_GB2312" w:cs="仿宋_GB2312" w:eastAsia="仿宋_GB2312"/>
              </w:rPr>
              <w:t>三级故障：≤8小时（网络性能受到影响）。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内，投标人向采购人出具合同总价款5%金额的银行保函，保函有效期截止到项目终验合格之日结束，乙方承诺在甲方办理支付手续前，为甲方出具等额的符合国家规定的发票；上述时间不包括甲方正常办理支付报批手续的时间（办理银行担保所需的手续费、担保费等全部由中标人承担）。采购人收到投标人合格银行保函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1.按《中华人民共和国合同法》中的相关条款执行。 2.未按合同要求提供服务的，采购方有权终止合同，并对供方违约行为进行追究，同时按《中华人民共和国政府采购法》的有关规定进行处罚。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本项目政府采购工作，供应商须在陕西省政府采购电子化交易平台上传电子版投标文件并完成签章、加密，同时，线下递交纸质版投标文件正本壹份、副本壹份。若电子版投标文件与纸质版投标文件不一致的，以陕西省政府采购电子化交易平台上传的电子版投标文件为准。纸质版投标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负责人直接参加投标的，须出具法定代表人/负责人身份证明书及身份证；授权代表参加投标的，须出具法定代表人/负责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若投标人是总公司授权的分公司参与投标，只接受总公司授权的一家分公司参与投标（说明：若总公司与分公司同时参与本项目投标或总公司授权两家及以上分公司同时参与本项目投标，相关响应均按无效响应处理）；（提供授权书复印件）</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售后服务方案.docx 投标人认为有必要说明的其他资料.docx 中小企业声明函 项目实施方案.docx 资格证明文件.docx 服务偏离表.docx 质量保障措施及安全保障方案.docx 链路接入服务方案.docx 分项报价表.docx 应急预案.docx 投标函 残疾人福利性单位声明函 综合服务能力.docx 业绩统计表.docx 标的清单 保证金缴纳凭证.docx 投标文件封面 报价表.docx 商务偏离表.docx 人员管理体系及人员配备方案.docx 投标人承诺书.docx 监狱企业的证明文件 项目理解方案.docx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售后服务方案.docx 投标人认为有必要说明的其他资料.docx 中小企业声明函 项目实施方案.docx 资格证明文件.docx 服务偏离表.docx 质量保障措施及安全保障方案.docx 链路接入服务方案.docx 分项报价表.docx 应急预案.docx 投标函 残疾人福利性单位声明函 综合服务能力.docx 业绩统计表.docx 标的清单 保证金缴纳凭证.docx 投标文件封面 报价表.docx 商务偏离表.docx 人员管理体系及人员配备方案.docx 投标人承诺书.docx 监狱企业的证明文件 项目理解方案.docx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一、评审内容 针对本项目提供项目理解方案，包括但不限于：①项目背景、项目现状理解、项目需求分析、项目目标；②项目重点难点分析、应对措施。 二、评审标准 1、完整性：方案须全面，对评审内容中的各项要求有详细描述； 2、可实施性：切合本项目实际情况，实施步骤清晰、合理； 3、针对性：方案能够紧扣项目实际情况，内容科学合理。 三、赋分依据（满分6分） ①项目背景、项目现状理解、项目需求分析、项目目标：每完全满足一个评审标准得1分，满分3分。 ②项目重点难点分析、应对措施：每完全满足一个评审标准得1分，满分3分。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②项目整体管理方案；③服务期内各项工作进度安排；④服务期内各项工作的进度保障措施；⑤项目沟通、协调机制；⑥客户资料档案和网络运行档案建立方案；⑦项目后期验收方案。 二、评审标准 1、完整性：方案须全面，对评审内容中的各项要求有详细描述； 2、可实施性：切合本项目实际情况，实施步骤清晰、合理； 3、针对性：方案能够紧扣项目实际情况，内容科学合理。 三、赋分依据（满分21分） ①项目实施步骤：每完全满足一个评审标准得1分，满分3分。 ②项目整体管理方案：每完全满足一个评审标准得1分，满分3分。 ③服务期内各项工作进度安排：每完全满足一个评审标准得1分，满分3分。 ④服务期内各项工作的进度保障措施：每完全满足一个评审标准得1分，满分3分。 ⑤项目沟通、协调机制：每完全满足一个评审标准得1分，满分3分。 ⑥客户资料档案和网络运行档案建立方案：每完全满足一个评审标准得1分，满分3分。 ⑦项目后期验收方案：每完全</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质量保障措施及安全保障方案</w:t>
            </w:r>
          </w:p>
        </w:tc>
        <w:tc>
          <w:tcPr>
            <w:tcW w:type="dxa" w:w="2492"/>
          </w:tcPr>
          <w:p>
            <w:pPr>
              <w:pStyle w:val="null3"/>
            </w:pPr>
            <w:r>
              <w:rPr>
                <w:rFonts w:ascii="仿宋_GB2312" w:hAnsi="仿宋_GB2312" w:cs="仿宋_GB2312" w:eastAsia="仿宋_GB2312"/>
              </w:rPr>
              <w:t>一、评审内容 针对本项目提供完善的质量保障措施及安全保障方案，包括但不限于：①服务质量保障措施；②数据安全保障措施；③风险控制保障措施； 二、评审标准 1、完整性：方案须全面，对评审内容中的各项要求有详细描述； 2、可实施性：切合本项目实际情况，实施步骤清晰、合理； 3、针对性：方案能够紧扣项目实际情况，内容科学合理。 三、赋分依据（满分9分） ①服务质量保障措施：每完全满足一个评审标准得1分，满分3分。 ②数据安全保障措施：每完全满足一个评审标准得1分，满分3分。 ③风险控制保障措施：每完全满足一个评审标准得1分，满分3分。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质量保障措施及安全保障方案.docx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项目经理具备国家认可的高级工程师证书（通信相关专业）和CISSP证书，且同时具备计算机信息系统集成高级项目经理资质证书（或PMP证书），得4分。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人员管理体系及人员配备方案.docx</w:t>
            </w:r>
          </w:p>
        </w:tc>
      </w:tr>
      <w:tr>
        <w:tc>
          <w:tcPr>
            <w:tcW w:type="dxa" w:w="831"/>
            <w:vMerge/>
          </w:tcPr>
          <w:p/>
        </w:tc>
        <w:tc>
          <w:tcPr>
            <w:tcW w:type="dxa" w:w="1661"/>
          </w:tcPr>
          <w:p>
            <w:pPr>
              <w:pStyle w:val="null3"/>
            </w:pPr>
            <w:r>
              <w:rPr>
                <w:rFonts w:ascii="仿宋_GB2312" w:hAnsi="仿宋_GB2312" w:cs="仿宋_GB2312" w:eastAsia="仿宋_GB2312"/>
              </w:rPr>
              <w:t>人员管理体系及人员配备方案</w:t>
            </w:r>
          </w:p>
        </w:tc>
        <w:tc>
          <w:tcPr>
            <w:tcW w:type="dxa" w:w="2492"/>
          </w:tcPr>
          <w:p>
            <w:pPr>
              <w:pStyle w:val="null3"/>
            </w:pPr>
            <w:r>
              <w:rPr>
                <w:rFonts w:ascii="仿宋_GB2312" w:hAnsi="仿宋_GB2312" w:cs="仿宋_GB2312" w:eastAsia="仿宋_GB2312"/>
              </w:rPr>
              <w:t>一、评审内容 针对本项目提供人员管理体系及人员配备方案，包括但不限于：①人员管理体系及制度；②实施组织机构划分、人员经验；③人员安排方案、岗位分工及职责任务。 二、评审标准 1、完整性：方案须全面，对评审内容中的各项要求有详细描述； 2、可实施性：切合本项目实际情况，实施步骤清晰、合理； 3、针对性：方案能够紧扣项目实际情况，内容科学合理。 三、赋分依据（满分9分） ①人员管理体系及制度：每完全满足一个评审标准得1分，满分3分。 ②实施组织机构划分、人员经验：每完全满足一个评审标准得1分，满分3分。 ③人员安排方案、岗位分工及职责任务：每完全满足一个评审标准得1分，满分3分。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人员管理体系及人员配备方案.docx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针对本项目提供应急预案，包括但不限于：①应急通信方案；②重要时段的特殊保障方案；③其他紧急情况及突发事件处理方案。 二、评审标准 1、完整性：方案须全面，对评审内容中的各项要求有详细描述； 2、可实施性：切合本项目实际情况，实施步骤清晰、合理； 3、针对性：方案能够紧扣项目实际情况，内容科学合理。 三、赋分依据（满分9分） ①应急通信方案：每完全满足一个评审标准得1分，满分3分。 ②重要时段的特殊保障方案：每完全满足一个评审标准得1分，满分3分。 ③其他紧急情况及突发事件处理方案：每完全满足一个评审标准得1分，满分3分。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包括但不限于：①针对本项目的售后服务承诺，包括但不限于售后响应时效、故障修复时间、遇突发情况或临时任务时的保障服务等；②根据项目需求结合自身能力提供售后服务方案；③售后服务相关管理制度；④售后服务人员保障方案。 二、评审标准 1、完整性：方案须全面，对评审内容中的各项要求有详细描述； 2、可实施性：切合本项目实际情况，实施步骤清晰、合理； 3、针对性：方案能够紧扣项目实际情况，内容科学合理。 三、赋分依据（满分12分） ①针对本项目的售后服务承诺，包括但不限于售后响应时效、故障修复时间、遇突发情况或临时任务时的保障服务等：每完全满足一个评审标准得1分，满分3分。 ②根据项目需求结合自身能力提供售后服务方案：每完全满足一个评审标准得1分，满分3分。 ③售后服务相关管理制度：每完全满足一个评审标准得1分，满分3分。 ④售后服务人员保障方案：每完全满足一个评审标准得1分，满分3分。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链路接入服务方案</w:t>
            </w:r>
          </w:p>
        </w:tc>
        <w:tc>
          <w:tcPr>
            <w:tcW w:type="dxa" w:w="2492"/>
          </w:tcPr>
          <w:p>
            <w:pPr>
              <w:pStyle w:val="null3"/>
            </w:pPr>
            <w:r>
              <w:rPr>
                <w:rFonts w:ascii="仿宋_GB2312" w:hAnsi="仿宋_GB2312" w:cs="仿宋_GB2312" w:eastAsia="仿宋_GB2312"/>
              </w:rPr>
              <w:t>一、评审内容 针对本项目提供链路迁移服务方案，包括但不限于：①链路迁移时效及质量保障；②迁移中突发情况的应对办法； 二、评审标准 1、完整性：方案须全面，对评审内容中的各项要求有详细描述； 2、可实施性：切合本项目实际情况，实施步骤清晰、合理； 3、针对性：方案能够紧扣项目实际情况，内容科学合理。 三、赋分依据（满分12分） ①链路迁移时效及质量保障：每完全满足一个评审标准得2分，满分6分。 ②迁移中突发情况的应对办法；每完全满足一个评审标准得2分，满分6分。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链路接入服务方案.docx</w:t>
            </w:r>
          </w:p>
        </w:tc>
      </w:tr>
      <w:tr>
        <w:tc>
          <w:tcPr>
            <w:tcW w:type="dxa" w:w="831"/>
            <w:vMerge/>
          </w:tcPr>
          <w:p/>
        </w:tc>
        <w:tc>
          <w:tcPr>
            <w:tcW w:type="dxa" w:w="1661"/>
          </w:tcPr>
          <w:p>
            <w:pPr>
              <w:pStyle w:val="null3"/>
            </w:pPr>
            <w:r>
              <w:rPr>
                <w:rFonts w:ascii="仿宋_GB2312" w:hAnsi="仿宋_GB2312" w:cs="仿宋_GB2312" w:eastAsia="仿宋_GB2312"/>
              </w:rPr>
              <w:t>综合服务能力</w:t>
            </w:r>
          </w:p>
        </w:tc>
        <w:tc>
          <w:tcPr>
            <w:tcW w:type="dxa" w:w="2492"/>
          </w:tcPr>
          <w:p>
            <w:pPr>
              <w:pStyle w:val="null3"/>
            </w:pPr>
            <w:r>
              <w:rPr>
                <w:rFonts w:ascii="仿宋_GB2312" w:hAnsi="仿宋_GB2312" w:cs="仿宋_GB2312" w:eastAsia="仿宋_GB2312"/>
              </w:rPr>
              <w:t>1、投标人提供中华人民共和国基础电信业务经营许可证或提供具有该许可证的企业针对本项目服务授权书。提供得2分，未提供得0分。 2、投标人提供中华人民共和国增值电信业务经营许可证或提供具有该许可证企业授权的在全国经营互联网数据中心业务相关证明。提供得2分，未提供得0分。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综合服务能力.docx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自2021年1月1日以来（以合同签订时间为准），供应商承担过类似项目业绩的，每提供一个项目得1分，最高得4分。 注：业绩证明材料以合同的复印件或扫描件加盖公章为准，业绩证明材料不符合要求的不得分。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采用低价优先法计算，即满足招标文件要求且投标总报价最低的投标总报价为评标基准价，其价格为 10分。（因落实政府采购政策进行价格调整的，以调整后的价格计算评标基准价）其他供应商的价格分按照下列公式计算：投标总报价得分＝（评标基准价/投标总报价）×10。价格得分四舍五入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详见附件：项目理解方案.docx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详见附件：质量保障措施及安全保障方案.docx</w:t>
      </w:r>
    </w:p>
    <w:p>
      <w:pPr>
        <w:pStyle w:val="null3"/>
        <w:ind w:firstLine="960"/>
      </w:pPr>
      <w:r>
        <w:rPr>
          <w:rFonts w:ascii="仿宋_GB2312" w:hAnsi="仿宋_GB2312" w:cs="仿宋_GB2312" w:eastAsia="仿宋_GB2312"/>
        </w:rPr>
        <w:t>详见附件：人员管理体系及人员配备方案.docx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详见附件：链路接入服务方案.docx</w:t>
      </w:r>
    </w:p>
    <w:p>
      <w:pPr>
        <w:pStyle w:val="null3"/>
        <w:ind w:firstLine="960"/>
      </w:pPr>
      <w:r>
        <w:rPr>
          <w:rFonts w:ascii="仿宋_GB2312" w:hAnsi="仿宋_GB2312" w:cs="仿宋_GB2312" w:eastAsia="仿宋_GB2312"/>
        </w:rPr>
        <w:t>详见附件：综合服务能力.docx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