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18561">
      <w:pPr>
        <w:pageBreakBefore w:val="0"/>
        <w:wordWrap/>
        <w:topLinePunct w:val="0"/>
        <w:bidi w:val="0"/>
        <w:snapToGrid w:val="0"/>
        <w:spacing w:line="360" w:lineRule="auto"/>
        <w:jc w:val="left"/>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政府采购合同                        合同编号：</w:t>
      </w:r>
    </w:p>
    <w:p w14:paraId="5935A1E0">
      <w:pPr>
        <w:pStyle w:val="5"/>
        <w:pageBreakBefore w:val="0"/>
        <w:wordWrap/>
        <w:topLinePunct w:val="0"/>
        <w:bidi w:val="0"/>
        <w:snapToGrid w:val="0"/>
        <w:spacing w:line="360" w:lineRule="auto"/>
        <w:rPr>
          <w:rFonts w:hint="eastAsia" w:ascii="仿宋" w:hAnsi="仿宋" w:eastAsia="仿宋" w:cs="仿宋"/>
          <w:b/>
          <w:bCs/>
          <w:sz w:val="30"/>
          <w:szCs w:val="30"/>
          <w:highlight w:val="none"/>
        </w:rPr>
      </w:pPr>
    </w:p>
    <w:p w14:paraId="6C6E00C2">
      <w:pPr>
        <w:pStyle w:val="5"/>
        <w:pageBreakBefore w:val="0"/>
        <w:wordWrap/>
        <w:topLinePunct w:val="0"/>
        <w:bidi w:val="0"/>
        <w:snapToGrid w:val="0"/>
        <w:spacing w:line="360" w:lineRule="auto"/>
        <w:rPr>
          <w:rFonts w:hint="eastAsia" w:ascii="仿宋" w:hAnsi="仿宋" w:eastAsia="仿宋" w:cs="仿宋"/>
          <w:b/>
          <w:bCs/>
          <w:sz w:val="30"/>
          <w:szCs w:val="30"/>
          <w:highlight w:val="none"/>
        </w:rPr>
      </w:pPr>
    </w:p>
    <w:p w14:paraId="4C5325EF">
      <w:pPr>
        <w:pStyle w:val="5"/>
        <w:pageBreakBefore w:val="0"/>
        <w:wordWrap/>
        <w:topLinePunct w:val="0"/>
        <w:bidi w:val="0"/>
        <w:snapToGrid w:val="0"/>
        <w:spacing w:line="360" w:lineRule="auto"/>
        <w:rPr>
          <w:rFonts w:hint="eastAsia" w:ascii="仿宋" w:hAnsi="仿宋" w:eastAsia="仿宋" w:cs="仿宋"/>
          <w:highlight w:val="none"/>
        </w:rPr>
      </w:pPr>
    </w:p>
    <w:p w14:paraId="68EDFF13">
      <w:pPr>
        <w:pageBreakBefore w:val="0"/>
        <w:wordWrap/>
        <w:topLinePunct w:val="0"/>
        <w:bidi w:val="0"/>
        <w:snapToGrid w:val="0"/>
        <w:spacing w:line="360" w:lineRule="auto"/>
        <w:jc w:val="center"/>
        <w:rPr>
          <w:rFonts w:hint="eastAsia" w:ascii="仿宋" w:hAnsi="仿宋" w:eastAsia="仿宋" w:cs="仿宋"/>
          <w:b/>
          <w:bCs/>
          <w:sz w:val="44"/>
          <w:szCs w:val="44"/>
          <w:highlight w:val="none"/>
        </w:rPr>
      </w:pPr>
      <w:r>
        <w:rPr>
          <w:rFonts w:hint="eastAsia" w:ascii="仿宋" w:hAnsi="仿宋" w:eastAsia="仿宋" w:cs="仿宋"/>
          <w:b/>
          <w:bCs/>
          <w:sz w:val="44"/>
          <w:szCs w:val="44"/>
          <w:highlight w:val="none"/>
          <w:u w:val="single"/>
        </w:rPr>
        <w:t xml:space="preserve">                           </w:t>
      </w:r>
      <w:r>
        <w:rPr>
          <w:rFonts w:hint="eastAsia" w:ascii="仿宋" w:hAnsi="仿宋" w:eastAsia="仿宋" w:cs="仿宋"/>
          <w:b/>
          <w:bCs/>
          <w:sz w:val="44"/>
          <w:szCs w:val="44"/>
          <w:highlight w:val="none"/>
        </w:rPr>
        <w:t>采购项目</w:t>
      </w:r>
    </w:p>
    <w:p w14:paraId="55AEDE96">
      <w:pPr>
        <w:pageBreakBefore w:val="0"/>
        <w:wordWrap/>
        <w:topLinePunct w:val="0"/>
        <w:bidi w:val="0"/>
        <w:snapToGrid w:val="0"/>
        <w:spacing w:line="360" w:lineRule="auto"/>
        <w:rPr>
          <w:rFonts w:hint="eastAsia" w:ascii="仿宋" w:hAnsi="仿宋" w:eastAsia="仿宋" w:cs="仿宋"/>
          <w:highlight w:val="none"/>
        </w:rPr>
      </w:pPr>
    </w:p>
    <w:p w14:paraId="146BDA20">
      <w:pPr>
        <w:pageBreakBefore w:val="0"/>
        <w:wordWrap/>
        <w:topLinePunct w:val="0"/>
        <w:bidi w:val="0"/>
        <w:snapToGrid w:val="0"/>
        <w:spacing w:line="360" w:lineRule="auto"/>
        <w:rPr>
          <w:rFonts w:hint="eastAsia" w:ascii="仿宋" w:hAnsi="仿宋" w:eastAsia="仿宋" w:cs="仿宋"/>
          <w:highlight w:val="none"/>
        </w:rPr>
      </w:pPr>
    </w:p>
    <w:p w14:paraId="1CF09DEA">
      <w:pPr>
        <w:pStyle w:val="5"/>
        <w:pageBreakBefore w:val="0"/>
        <w:wordWrap/>
        <w:topLinePunct w:val="0"/>
        <w:bidi w:val="0"/>
        <w:snapToGrid w:val="0"/>
        <w:spacing w:line="360" w:lineRule="auto"/>
        <w:rPr>
          <w:rFonts w:hint="eastAsia" w:ascii="仿宋" w:hAnsi="仿宋" w:eastAsia="仿宋" w:cs="仿宋"/>
          <w:highlight w:val="none"/>
        </w:rPr>
      </w:pPr>
    </w:p>
    <w:p w14:paraId="501535DE">
      <w:pPr>
        <w:pStyle w:val="5"/>
        <w:pageBreakBefore w:val="0"/>
        <w:wordWrap/>
        <w:topLinePunct w:val="0"/>
        <w:bidi w:val="0"/>
        <w:snapToGrid w:val="0"/>
        <w:spacing w:line="360" w:lineRule="auto"/>
        <w:rPr>
          <w:rFonts w:hint="eastAsia" w:ascii="仿宋" w:hAnsi="仿宋" w:eastAsia="仿宋" w:cs="仿宋"/>
          <w:highlight w:val="none"/>
        </w:rPr>
      </w:pPr>
    </w:p>
    <w:p w14:paraId="594E0CFB">
      <w:pPr>
        <w:pageBreakBefore w:val="0"/>
        <w:wordWrap/>
        <w:topLinePunct w:val="0"/>
        <w:bidi w:val="0"/>
        <w:snapToGrid w:val="0"/>
        <w:spacing w:line="360" w:lineRule="auto"/>
        <w:rPr>
          <w:rFonts w:hint="eastAsia" w:ascii="仿宋" w:hAnsi="仿宋" w:eastAsia="仿宋" w:cs="仿宋"/>
          <w:highlight w:val="none"/>
        </w:rPr>
      </w:pPr>
    </w:p>
    <w:p w14:paraId="7D12D79E">
      <w:pPr>
        <w:pageBreakBefore w:val="0"/>
        <w:wordWrap/>
        <w:topLinePunct w:val="0"/>
        <w:bidi w:val="0"/>
        <w:snapToGrid w:val="0"/>
        <w:spacing w:line="360" w:lineRule="auto"/>
        <w:rPr>
          <w:rFonts w:hint="eastAsia" w:ascii="仿宋" w:hAnsi="仿宋" w:eastAsia="仿宋" w:cs="仿宋"/>
          <w:highlight w:val="none"/>
        </w:rPr>
      </w:pPr>
    </w:p>
    <w:p w14:paraId="76A54330">
      <w:pPr>
        <w:pageBreakBefore w:val="0"/>
        <w:wordWrap/>
        <w:topLinePunct w:val="0"/>
        <w:bidi w:val="0"/>
        <w:snapToGrid w:val="0"/>
        <w:spacing w:line="360" w:lineRule="auto"/>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（示范文本仅供参考）</w:t>
      </w:r>
    </w:p>
    <w:p w14:paraId="531F43F9">
      <w:pPr>
        <w:pageBreakBefore w:val="0"/>
        <w:wordWrap/>
        <w:topLinePunct w:val="0"/>
        <w:bidi w:val="0"/>
        <w:snapToGrid w:val="0"/>
        <w:spacing w:line="360" w:lineRule="auto"/>
        <w:jc w:val="center"/>
        <w:rPr>
          <w:rFonts w:hint="eastAsia" w:ascii="仿宋" w:hAnsi="仿宋" w:eastAsia="仿宋" w:cs="仿宋"/>
          <w:b/>
          <w:sz w:val="36"/>
          <w:szCs w:val="36"/>
          <w:highlight w:val="none"/>
        </w:rPr>
      </w:pPr>
    </w:p>
    <w:p w14:paraId="42BE3F18">
      <w:pPr>
        <w:pageBreakBefore w:val="0"/>
        <w:wordWrap/>
        <w:topLinePunct w:val="0"/>
        <w:bidi w:val="0"/>
        <w:snapToGrid w:val="0"/>
        <w:spacing w:line="360" w:lineRule="auto"/>
        <w:rPr>
          <w:rFonts w:hint="eastAsia" w:ascii="仿宋" w:hAnsi="仿宋" w:eastAsia="仿宋" w:cs="仿宋"/>
          <w:b/>
          <w:sz w:val="36"/>
          <w:szCs w:val="36"/>
          <w:highlight w:val="none"/>
        </w:rPr>
      </w:pPr>
    </w:p>
    <w:p w14:paraId="4DC0EDC8">
      <w:pPr>
        <w:pageBreakBefore w:val="0"/>
        <w:wordWrap/>
        <w:topLinePunct w:val="0"/>
        <w:bidi w:val="0"/>
        <w:snapToGrid w:val="0"/>
        <w:spacing w:line="360" w:lineRule="auto"/>
        <w:jc w:val="center"/>
        <w:rPr>
          <w:rFonts w:hint="eastAsia" w:ascii="仿宋" w:hAnsi="仿宋" w:eastAsia="仿宋" w:cs="仿宋"/>
          <w:b/>
          <w:sz w:val="36"/>
          <w:szCs w:val="36"/>
          <w:highlight w:val="none"/>
        </w:rPr>
      </w:pPr>
    </w:p>
    <w:p w14:paraId="2B192319">
      <w:pPr>
        <w:pageBreakBefore w:val="0"/>
        <w:wordWrap/>
        <w:topLinePunct w:val="0"/>
        <w:bidi w:val="0"/>
        <w:snapToGrid w:val="0"/>
        <w:spacing w:line="360" w:lineRule="auto"/>
        <w:ind w:firstLine="1584" w:firstLineChars="493"/>
        <w:jc w:val="left"/>
        <w:rPr>
          <w:rFonts w:hint="eastAsia" w:ascii="仿宋" w:hAnsi="仿宋" w:eastAsia="仿宋" w:cs="仿宋"/>
          <w:sz w:val="32"/>
          <w:szCs w:val="32"/>
          <w:highlight w:val="none"/>
          <w:u w:val="single"/>
        </w:rPr>
      </w:pPr>
      <w:r>
        <w:rPr>
          <w:rFonts w:hint="eastAsia" w:ascii="仿宋" w:hAnsi="仿宋" w:eastAsia="仿宋" w:cs="仿宋"/>
          <w:b/>
          <w:bCs/>
          <w:sz w:val="32"/>
          <w:szCs w:val="32"/>
          <w:highlight w:val="none"/>
        </w:rPr>
        <w:t>采购人：</w:t>
      </w:r>
      <w:r>
        <w:rPr>
          <w:rFonts w:hint="eastAsia" w:ascii="仿宋" w:hAnsi="仿宋" w:eastAsia="仿宋" w:cs="仿宋"/>
          <w:sz w:val="32"/>
          <w:szCs w:val="32"/>
          <w:highlight w:val="none"/>
          <w:u w:val="single"/>
        </w:rPr>
        <w:t xml:space="preserve">                     </w:t>
      </w:r>
    </w:p>
    <w:p w14:paraId="4A54EBA9">
      <w:pPr>
        <w:pageBreakBefore w:val="0"/>
        <w:wordWrap/>
        <w:topLinePunct w:val="0"/>
        <w:bidi w:val="0"/>
        <w:snapToGrid w:val="0"/>
        <w:spacing w:line="360" w:lineRule="auto"/>
        <w:ind w:firstLine="1584" w:firstLineChars="493"/>
        <w:jc w:val="left"/>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投标人</w:t>
      </w:r>
      <w:r>
        <w:rPr>
          <w:rFonts w:hint="eastAsia" w:ascii="仿宋" w:hAnsi="仿宋" w:eastAsia="仿宋" w:cs="仿宋"/>
          <w:b/>
          <w:bCs/>
          <w:sz w:val="32"/>
          <w:szCs w:val="32"/>
          <w:highlight w:val="none"/>
        </w:rPr>
        <w:t>：</w:t>
      </w:r>
      <w:r>
        <w:rPr>
          <w:rFonts w:hint="eastAsia" w:ascii="仿宋" w:hAnsi="仿宋" w:eastAsia="仿宋" w:cs="仿宋"/>
          <w:sz w:val="32"/>
          <w:szCs w:val="32"/>
          <w:highlight w:val="none"/>
          <w:u w:val="single"/>
        </w:rPr>
        <w:t xml:space="preserve">                     </w:t>
      </w:r>
      <w:r>
        <w:rPr>
          <w:rFonts w:hint="eastAsia" w:ascii="仿宋" w:hAnsi="仿宋" w:eastAsia="仿宋" w:cs="仿宋"/>
          <w:sz w:val="32"/>
          <w:szCs w:val="32"/>
          <w:highlight w:val="none"/>
        </w:rPr>
        <w:t xml:space="preserve">  </w:t>
      </w:r>
      <w:r>
        <w:rPr>
          <w:rFonts w:hint="eastAsia" w:ascii="仿宋" w:hAnsi="仿宋" w:eastAsia="仿宋" w:cs="仿宋"/>
          <w:b/>
          <w:bCs/>
          <w:sz w:val="32"/>
          <w:szCs w:val="32"/>
          <w:highlight w:val="none"/>
        </w:rPr>
        <w:t xml:space="preserve">        </w:t>
      </w:r>
    </w:p>
    <w:p w14:paraId="783D76B9">
      <w:pPr>
        <w:pStyle w:val="5"/>
        <w:pageBreakBefore w:val="0"/>
        <w:wordWrap/>
        <w:topLinePunct w:val="0"/>
        <w:bidi w:val="0"/>
        <w:snapToGrid w:val="0"/>
        <w:spacing w:line="360" w:lineRule="auto"/>
        <w:jc w:val="center"/>
        <w:rPr>
          <w:rFonts w:hint="eastAsia" w:ascii="仿宋" w:hAnsi="仿宋" w:eastAsia="仿宋" w:cs="仿宋"/>
          <w:highlight w:val="none"/>
        </w:rPr>
      </w:pPr>
      <w:r>
        <w:rPr>
          <w:rFonts w:hint="eastAsia" w:ascii="仿宋" w:hAnsi="仿宋" w:eastAsia="仿宋" w:cs="仿宋"/>
          <w:b/>
          <w:bCs/>
          <w:color w:val="auto"/>
          <w:sz w:val="32"/>
          <w:szCs w:val="32"/>
          <w:highlight w:val="none"/>
        </w:rPr>
        <w:t>二〇二</w:t>
      </w:r>
      <w:r>
        <w:rPr>
          <w:rFonts w:hint="eastAsia" w:ascii="仿宋" w:hAnsi="仿宋" w:eastAsia="仿宋" w:cs="仿宋"/>
          <w:b/>
          <w:bCs/>
          <w:color w:val="auto"/>
          <w:sz w:val="32"/>
          <w:szCs w:val="32"/>
          <w:highlight w:val="none"/>
          <w:lang w:val="en-US" w:eastAsia="zh-CN"/>
        </w:rPr>
        <w:t>五</w:t>
      </w:r>
      <w:r>
        <w:rPr>
          <w:rFonts w:hint="eastAsia" w:ascii="仿宋" w:hAnsi="仿宋" w:eastAsia="仿宋" w:cs="仿宋"/>
          <w:b/>
          <w:bCs/>
          <w:color w:val="auto"/>
          <w:sz w:val="32"/>
          <w:szCs w:val="32"/>
          <w:highlight w:val="none"/>
        </w:rPr>
        <w:t>年  月</w:t>
      </w:r>
    </w:p>
    <w:p w14:paraId="7E9B005F">
      <w:pPr>
        <w:pStyle w:val="5"/>
        <w:pageBreakBefore w:val="0"/>
        <w:wordWrap/>
        <w:topLinePunct w:val="0"/>
        <w:bidi w:val="0"/>
        <w:snapToGrid w:val="0"/>
        <w:spacing w:line="360" w:lineRule="auto"/>
        <w:rPr>
          <w:rFonts w:ascii="宋体" w:hAnsi="宋体" w:cs="宋体"/>
          <w:highlight w:val="none"/>
        </w:rPr>
      </w:pPr>
    </w:p>
    <w:p w14:paraId="555930F6">
      <w:pPr>
        <w:pageBreakBefore w:val="0"/>
        <w:wordWrap/>
        <w:topLinePunct w:val="0"/>
        <w:bidi w:val="0"/>
        <w:snapToGrid w:val="0"/>
        <w:spacing w:line="360" w:lineRule="auto"/>
        <w:rPr>
          <w:rFonts w:hint="eastAsia" w:ascii="宋体" w:hAnsi="宋体" w:cs="宋体"/>
          <w:b/>
          <w:bCs/>
          <w:sz w:val="32"/>
          <w:szCs w:val="40"/>
          <w:highlight w:val="none"/>
        </w:rPr>
      </w:pPr>
      <w:r>
        <w:rPr>
          <w:rFonts w:hint="eastAsia" w:ascii="宋体" w:hAnsi="宋体" w:cs="宋体"/>
          <w:b/>
          <w:bCs/>
          <w:sz w:val="32"/>
          <w:szCs w:val="40"/>
          <w:highlight w:val="none"/>
        </w:rPr>
        <w:br w:type="page"/>
      </w:r>
    </w:p>
    <w:p w14:paraId="18B6961B">
      <w:pPr>
        <w:keepNext w:val="0"/>
        <w:keepLines w:val="0"/>
        <w:pageBreakBefore w:val="0"/>
        <w:wordWrap/>
        <w:overflowPunct/>
        <w:topLinePunct w:val="0"/>
        <w:bidi w:val="0"/>
        <w:adjustRightInd w:val="0"/>
        <w:snapToGrid w:val="0"/>
        <w:spacing w:line="360" w:lineRule="auto"/>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合同主要条款</w:t>
      </w:r>
    </w:p>
    <w:p w14:paraId="708297DB">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highlight w:val="none"/>
        </w:rPr>
      </w:pPr>
      <w:r>
        <w:rPr>
          <w:rFonts w:hint="eastAsia" w:ascii="仿宋" w:hAnsi="仿宋" w:eastAsia="仿宋" w:cs="仿宋"/>
          <w:b/>
          <w:sz w:val="20"/>
          <w:szCs w:val="20"/>
          <w:highlight w:val="none"/>
        </w:rPr>
        <w:t>采购人（甲方）：</w:t>
      </w:r>
      <w:r>
        <w:rPr>
          <w:rFonts w:hint="eastAsia" w:ascii="仿宋" w:hAnsi="仿宋" w:eastAsia="仿宋" w:cs="仿宋"/>
          <w:b/>
          <w:sz w:val="20"/>
          <w:szCs w:val="20"/>
          <w:highlight w:val="none"/>
          <w:u w:val="single"/>
        </w:rPr>
        <w:t xml:space="preserve">                                      </w:t>
      </w:r>
    </w:p>
    <w:p w14:paraId="6CFFCAEA">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sz w:val="20"/>
          <w:szCs w:val="20"/>
          <w:highlight w:val="none"/>
          <w:u w:val="single"/>
        </w:rPr>
      </w:pPr>
      <w:r>
        <w:rPr>
          <w:rFonts w:hint="eastAsia" w:ascii="仿宋" w:hAnsi="仿宋" w:eastAsia="仿宋" w:cs="仿宋"/>
          <w:b/>
          <w:sz w:val="20"/>
          <w:szCs w:val="20"/>
          <w:highlight w:val="none"/>
          <w:lang w:eastAsia="zh-CN"/>
        </w:rPr>
        <w:t>投标人</w:t>
      </w:r>
      <w:r>
        <w:rPr>
          <w:rFonts w:hint="eastAsia" w:ascii="仿宋" w:hAnsi="仿宋" w:eastAsia="仿宋" w:cs="仿宋"/>
          <w:b/>
          <w:sz w:val="20"/>
          <w:szCs w:val="20"/>
          <w:highlight w:val="none"/>
        </w:rPr>
        <w:t>（乙方）：</w:t>
      </w:r>
      <w:r>
        <w:rPr>
          <w:rFonts w:hint="eastAsia" w:ascii="仿宋" w:hAnsi="仿宋" w:eastAsia="仿宋" w:cs="仿宋"/>
          <w:b/>
          <w:sz w:val="20"/>
          <w:szCs w:val="20"/>
          <w:highlight w:val="none"/>
          <w:u w:val="single"/>
        </w:rPr>
        <w:t xml:space="preserve">                                   </w:t>
      </w:r>
      <w:r>
        <w:rPr>
          <w:rFonts w:hint="eastAsia" w:ascii="仿宋" w:hAnsi="仿宋" w:eastAsia="仿宋" w:cs="仿宋"/>
          <w:sz w:val="20"/>
          <w:szCs w:val="20"/>
          <w:highlight w:val="none"/>
          <w:u w:val="single"/>
        </w:rPr>
        <w:t xml:space="preserve">   </w:t>
      </w:r>
    </w:p>
    <w:p w14:paraId="3EA5575B">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根据《中华人民共和国民法典》及其他有关法律、法规，遵循平等、自愿、公平和诚信的原则，双方就下述项目范围与相关服务事项协商一致，订立本合同。</w:t>
      </w:r>
    </w:p>
    <w:p w14:paraId="2BEA0822">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highlight w:val="none"/>
        </w:rPr>
      </w:pPr>
      <w:bookmarkStart w:id="0" w:name="_Toc12273"/>
      <w:bookmarkStart w:id="1" w:name="_Toc24654"/>
      <w:bookmarkStart w:id="2" w:name="_Toc3961"/>
      <w:bookmarkStart w:id="3" w:name="_Toc8253"/>
      <w:r>
        <w:rPr>
          <w:rFonts w:hint="eastAsia" w:ascii="仿宋" w:hAnsi="仿宋" w:eastAsia="仿宋" w:cs="仿宋"/>
          <w:b/>
          <w:sz w:val="20"/>
          <w:szCs w:val="20"/>
          <w:highlight w:val="none"/>
        </w:rPr>
        <w:t>一、项目概况</w:t>
      </w:r>
      <w:bookmarkEnd w:id="0"/>
      <w:bookmarkEnd w:id="1"/>
      <w:bookmarkEnd w:id="2"/>
      <w:bookmarkEnd w:id="3"/>
    </w:p>
    <w:p w14:paraId="5F0C0990">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1.项目名称：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w:t>
      </w:r>
    </w:p>
    <w:p w14:paraId="4E1FC56A">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2.项目地点：</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w:t>
      </w:r>
    </w:p>
    <w:p w14:paraId="2FBBC91D">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highlight w:val="none"/>
          <w14:textFill>
            <w14:solidFill>
              <w14:schemeClr w14:val="tx1"/>
            </w14:solidFill>
          </w14:textFill>
        </w:rPr>
      </w:pPr>
      <w:bookmarkStart w:id="4" w:name="_Toc19765"/>
      <w:bookmarkStart w:id="5" w:name="_Toc20644"/>
      <w:bookmarkStart w:id="6" w:name="_Toc24180"/>
      <w:bookmarkStart w:id="7" w:name="_Toc7460"/>
      <w:r>
        <w:rPr>
          <w:rFonts w:hint="eastAsia" w:ascii="仿宋" w:hAnsi="仿宋" w:eastAsia="仿宋" w:cs="仿宋"/>
          <w:b/>
          <w:color w:val="000000" w:themeColor="text1"/>
          <w:sz w:val="20"/>
          <w:szCs w:val="20"/>
          <w:highlight w:val="none"/>
          <w14:textFill>
            <w14:solidFill>
              <w14:schemeClr w14:val="tx1"/>
            </w14:solidFill>
          </w14:textFill>
        </w:rPr>
        <w:t>二、组成本合同的文件</w:t>
      </w:r>
      <w:bookmarkEnd w:id="4"/>
      <w:bookmarkEnd w:id="5"/>
      <w:bookmarkEnd w:id="6"/>
      <w:bookmarkEnd w:id="7"/>
    </w:p>
    <w:p w14:paraId="12B5DEC3">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1.中标通知书、政府采购招投标文件、澄清函等文件；</w:t>
      </w:r>
    </w:p>
    <w:p w14:paraId="3F700E8B">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2.本合同签订后，双方依法签订的补充协议。</w:t>
      </w:r>
    </w:p>
    <w:p w14:paraId="67B1BF8D">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highlight w:val="none"/>
        </w:rPr>
      </w:pPr>
      <w:bookmarkStart w:id="8" w:name="_Toc6332"/>
      <w:bookmarkStart w:id="9" w:name="_Toc15565"/>
      <w:bookmarkStart w:id="10" w:name="_Toc20296"/>
      <w:bookmarkStart w:id="11" w:name="_Toc7040"/>
      <w:r>
        <w:rPr>
          <w:rFonts w:hint="eastAsia" w:ascii="仿宋" w:hAnsi="仿宋" w:eastAsia="仿宋" w:cs="仿宋"/>
          <w:b/>
          <w:sz w:val="20"/>
          <w:szCs w:val="20"/>
          <w:highlight w:val="none"/>
        </w:rPr>
        <w:t>三、合同金额</w:t>
      </w:r>
      <w:bookmarkEnd w:id="8"/>
      <w:bookmarkEnd w:id="9"/>
      <w:bookmarkEnd w:id="10"/>
      <w:bookmarkEnd w:id="11"/>
    </w:p>
    <w:p w14:paraId="7611508B">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合同金额（大写）：</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元</w:t>
      </w:r>
      <w:r>
        <w:rPr>
          <w:rFonts w:hint="eastAsia" w:ascii="仿宋" w:hAnsi="仿宋" w:eastAsia="仿宋" w:cs="仿宋"/>
          <w:sz w:val="20"/>
          <w:szCs w:val="20"/>
          <w:highlight w:val="none"/>
        </w:rPr>
        <w:t>）。</w:t>
      </w:r>
    </w:p>
    <w:p w14:paraId="36004263">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合同价格为含税价，</w:t>
      </w:r>
      <w:r>
        <w:rPr>
          <w:rFonts w:hint="eastAsia" w:ascii="仿宋" w:hAnsi="仿宋" w:eastAsia="仿宋" w:cs="仿宋"/>
          <w:sz w:val="20"/>
          <w:szCs w:val="20"/>
          <w:highlight w:val="none"/>
          <w:lang w:eastAsia="zh-CN"/>
        </w:rPr>
        <w:t>投标人</w:t>
      </w:r>
      <w:r>
        <w:rPr>
          <w:rFonts w:hint="eastAsia" w:ascii="仿宋" w:hAnsi="仿宋" w:eastAsia="仿宋" w:cs="仿宋"/>
          <w:sz w:val="20"/>
          <w:szCs w:val="20"/>
          <w:highlight w:val="none"/>
        </w:rPr>
        <w:t>提供服务所发生的一切费用等都已包含于合同价款中。</w:t>
      </w:r>
    </w:p>
    <w:p w14:paraId="37814779">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highlight w:val="none"/>
          <w14:textFill>
            <w14:solidFill>
              <w14:schemeClr w14:val="tx1"/>
            </w14:solidFill>
          </w14:textFill>
        </w:rPr>
      </w:pPr>
      <w:bookmarkStart w:id="12" w:name="_Toc15258"/>
      <w:bookmarkStart w:id="13" w:name="_Toc12205"/>
      <w:bookmarkStart w:id="14" w:name="_Toc23403"/>
      <w:bookmarkStart w:id="15" w:name="_Toc25097"/>
      <w:r>
        <w:rPr>
          <w:rFonts w:hint="eastAsia" w:ascii="仿宋" w:hAnsi="仿宋" w:eastAsia="仿宋" w:cs="仿宋"/>
          <w:b/>
          <w:color w:val="000000" w:themeColor="text1"/>
          <w:sz w:val="20"/>
          <w:szCs w:val="20"/>
          <w:highlight w:val="none"/>
          <w14:textFill>
            <w14:solidFill>
              <w14:schemeClr w14:val="tx1"/>
            </w14:solidFill>
          </w14:textFill>
        </w:rPr>
        <w:t>四、付款方式</w:t>
      </w:r>
      <w:bookmarkEnd w:id="12"/>
      <w:bookmarkEnd w:id="13"/>
      <w:bookmarkEnd w:id="14"/>
      <w:bookmarkEnd w:id="15"/>
    </w:p>
    <w:p w14:paraId="2A5D9845">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highlight w:val="none"/>
        </w:rPr>
      </w:pPr>
      <w:bookmarkStart w:id="16" w:name="_Toc1205"/>
      <w:bookmarkStart w:id="17" w:name="_Toc10035"/>
      <w:bookmarkStart w:id="18" w:name="_Toc24217"/>
      <w:bookmarkStart w:id="19" w:name="_Toc26843"/>
      <w:r>
        <w:rPr>
          <w:rFonts w:hint="eastAsia" w:ascii="仿宋" w:hAnsi="仿宋" w:eastAsia="仿宋" w:cs="仿宋"/>
          <w:sz w:val="20"/>
          <w:szCs w:val="20"/>
          <w:highlight w:val="none"/>
        </w:rPr>
        <w:t>（1）银行转账。</w:t>
      </w:r>
    </w:p>
    <w:p w14:paraId="3466876F">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（2）乙方承诺在甲方办理支付手续前，为甲方出具等额的符合国家规定的发票。</w:t>
      </w:r>
    </w:p>
    <w:p w14:paraId="1182CBD0">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支付约定：合同签订后5个工作日内，乙方向甲方出具合同总价款5%金额的银行保函，保函有效期截止到项目终验合格之日结束，甲方收到乙方合格银行保函后 ，达到付款条件起10日内，支付合同总金额的100.00%。</w:t>
      </w:r>
    </w:p>
    <w:p w14:paraId="57823DD6">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（4）上述时间不包括甲方正常办理支付报批手续的时间（办理银行担保所需的手续费、担保费等全部由中标人承担）。</w:t>
      </w:r>
    </w:p>
    <w:p w14:paraId="0A8C04A0">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乙方开户行：</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w:t>
      </w:r>
    </w:p>
    <w:p w14:paraId="0DD63CDD">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乙方户  名：</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w:t>
      </w:r>
    </w:p>
    <w:p w14:paraId="7FBB1EBC">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乙方账  号：</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w:t>
      </w:r>
    </w:p>
    <w:p w14:paraId="62458D00">
      <w:pPr>
        <w:keepNext w:val="0"/>
        <w:keepLines w:val="0"/>
        <w:pageBreakBefore w:val="0"/>
        <w:numPr>
          <w:ilvl w:val="0"/>
          <w:numId w:val="2"/>
        </w:numPr>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highlight w:val="none"/>
        </w:rPr>
      </w:pPr>
      <w:r>
        <w:rPr>
          <w:rFonts w:hint="eastAsia" w:ascii="仿宋" w:hAnsi="仿宋" w:eastAsia="仿宋" w:cs="仿宋"/>
          <w:b/>
          <w:sz w:val="20"/>
          <w:szCs w:val="20"/>
          <w:highlight w:val="none"/>
        </w:rPr>
        <w:t>服务期限</w:t>
      </w:r>
    </w:p>
    <w:bookmarkEnd w:id="16"/>
    <w:bookmarkEnd w:id="17"/>
    <w:bookmarkEnd w:id="18"/>
    <w:bookmarkEnd w:id="19"/>
    <w:p w14:paraId="2807C698">
      <w:pPr>
        <w:keepNext w:val="0"/>
        <w:keepLines w:val="0"/>
        <w:pageBreakBefore w:val="0"/>
        <w:numPr>
          <w:ilvl w:val="255"/>
          <w:numId w:val="0"/>
        </w:numPr>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2026年1月1日至2026年12月31日。</w:t>
      </w:r>
    </w:p>
    <w:p w14:paraId="1086A0C1">
      <w:pPr>
        <w:keepNext w:val="0"/>
        <w:keepLines w:val="0"/>
        <w:pageBreakBefore w:val="0"/>
        <w:tabs>
          <w:tab w:val="left" w:pos="720"/>
          <w:tab w:val="left" w:pos="3780"/>
          <w:tab w:val="left" w:pos="6480"/>
        </w:tabs>
        <w:wordWrap/>
        <w:overflowPunct/>
        <w:topLinePunct w:val="0"/>
        <w:autoSpaceDE w:val="0"/>
        <w:autoSpaceDN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bCs/>
          <w:sz w:val="20"/>
          <w:szCs w:val="20"/>
          <w:highlight w:val="none"/>
          <w:lang w:val="en-US" w:eastAsia="zh-CN"/>
        </w:rPr>
        <w:t>六、</w:t>
      </w:r>
      <w:r>
        <w:rPr>
          <w:rFonts w:hint="eastAsia" w:ascii="仿宋" w:hAnsi="仿宋" w:eastAsia="仿宋" w:cs="仿宋"/>
          <w:b/>
          <w:color w:val="000000" w:themeColor="text1"/>
          <w:sz w:val="20"/>
          <w:szCs w:val="20"/>
          <w:highlight w:val="none"/>
          <w14:textFill>
            <w14:solidFill>
              <w14:schemeClr w14:val="tx1"/>
            </w14:solidFill>
          </w14:textFill>
        </w:rPr>
        <w:t>内容及要求</w:t>
      </w:r>
    </w:p>
    <w:p w14:paraId="5912B458">
      <w:pPr>
        <w:keepNext w:val="0"/>
        <w:keepLines w:val="0"/>
        <w:pageBreakBefore w:val="0"/>
        <w:tabs>
          <w:tab w:val="left" w:pos="840"/>
        </w:tabs>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（在合同签订时，按照项目政府采购招投标文件要求及响应内容明确）</w:t>
      </w:r>
    </w:p>
    <w:p w14:paraId="7866CEEB">
      <w:pPr>
        <w:pStyle w:val="3"/>
        <w:keepNext w:val="0"/>
        <w:keepLines w:val="0"/>
        <w:pageBreakBefore w:val="0"/>
        <w:numPr>
          <w:ilvl w:val="0"/>
          <w:numId w:val="3"/>
        </w:numPr>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服务人员要求</w:t>
      </w:r>
    </w:p>
    <w:p w14:paraId="15A598EB">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1.1 乙方应配备具有专业能力的服务人员。</w:t>
      </w:r>
    </w:p>
    <w:p w14:paraId="1533A28B">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1.2 甲方有权要求乙方更换服务人员，但不能超过3人次。</w:t>
      </w:r>
    </w:p>
    <w:p w14:paraId="26B0D48A">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1.3 服务过程中，乙方有权更换相同级别人员，但不能影响服务质量，且整个服务过程中，更换人次不能超过3人次。</w:t>
      </w:r>
    </w:p>
    <w:p w14:paraId="0761570F">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2.转委托要求</w:t>
      </w:r>
    </w:p>
    <w:p w14:paraId="33A5AE55">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未经甲方同意，乙方不得将服务的全部或部分转由第三人承担。</w:t>
      </w:r>
    </w:p>
    <w:p w14:paraId="5EFC7D76">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3.其他要求</w:t>
      </w:r>
    </w:p>
    <w:p w14:paraId="1A2CC658">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3.1 乙方服务应尽量满足项目目的，甲方在履行过程中提出的要求且乙方能够达到的，乙方应予以执行。</w:t>
      </w:r>
    </w:p>
    <w:p w14:paraId="7369872F">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3.2 除双方约定的以外，乙方的服务同时应满足法律法规要求，满足行业操作规范，达到该领域专业企业的水准。</w:t>
      </w:r>
    </w:p>
    <w:p w14:paraId="4B0BCA46">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highlight w:val="none"/>
        </w:rPr>
      </w:pPr>
      <w:bookmarkStart w:id="20" w:name="_Toc11798"/>
      <w:bookmarkStart w:id="21" w:name="_Toc14609"/>
      <w:bookmarkStart w:id="22" w:name="_Toc11563"/>
      <w:bookmarkStart w:id="23" w:name="_Toc8837"/>
      <w:r>
        <w:rPr>
          <w:rFonts w:hint="eastAsia" w:ascii="仿宋" w:hAnsi="仿宋" w:eastAsia="仿宋" w:cs="仿宋"/>
          <w:b/>
          <w:sz w:val="20"/>
          <w:szCs w:val="20"/>
          <w:highlight w:val="none"/>
          <w:lang w:val="en-US" w:eastAsia="zh-CN"/>
        </w:rPr>
        <w:t>七</w:t>
      </w:r>
      <w:r>
        <w:rPr>
          <w:rFonts w:hint="eastAsia" w:ascii="仿宋" w:hAnsi="仿宋" w:eastAsia="仿宋" w:cs="仿宋"/>
          <w:b/>
          <w:sz w:val="20"/>
          <w:szCs w:val="20"/>
          <w:highlight w:val="none"/>
        </w:rPr>
        <w:t>、项目实施地点</w:t>
      </w:r>
      <w:bookmarkEnd w:id="20"/>
      <w:bookmarkEnd w:id="21"/>
      <w:bookmarkEnd w:id="22"/>
      <w:bookmarkEnd w:id="23"/>
    </w:p>
    <w:p w14:paraId="7F5E1A80">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highlight w:val="none"/>
          <w:u w:val="single"/>
        </w:rPr>
      </w:pPr>
      <w:bookmarkStart w:id="24" w:name="_Toc25637"/>
      <w:bookmarkStart w:id="25" w:name="_Toc32413"/>
      <w:bookmarkStart w:id="26" w:name="_Toc3186"/>
      <w:r>
        <w:rPr>
          <w:rFonts w:hint="eastAsia" w:ascii="仿宋" w:hAnsi="仿宋" w:eastAsia="仿宋" w:cs="仿宋"/>
          <w:sz w:val="20"/>
          <w:szCs w:val="20"/>
          <w:highlight w:val="none"/>
          <w:u w:val="single"/>
        </w:rPr>
        <w:t xml:space="preserve"> </w:t>
      </w:r>
      <w:bookmarkEnd w:id="24"/>
      <w:bookmarkEnd w:id="25"/>
      <w:bookmarkEnd w:id="26"/>
      <w:r>
        <w:rPr>
          <w:rFonts w:hint="eastAsia" w:ascii="仿宋" w:hAnsi="仿宋" w:eastAsia="仿宋" w:cs="仿宋"/>
          <w:sz w:val="20"/>
          <w:szCs w:val="20"/>
          <w:highlight w:val="none"/>
          <w:u w:val="single"/>
        </w:rPr>
        <w:t xml:space="preserve">    甲方指定的地点       </w:t>
      </w:r>
    </w:p>
    <w:p w14:paraId="2AB42AD8">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lang w:val="en-US" w:eastAsia="zh-CN"/>
          <w14:textFill>
            <w14:solidFill>
              <w14:schemeClr w14:val="tx1"/>
            </w14:solidFill>
          </w14:textFill>
        </w:rPr>
        <w:t>八</w:t>
      </w:r>
      <w:r>
        <w:rPr>
          <w:rFonts w:hint="eastAsia" w:ascii="仿宋" w:hAnsi="仿宋" w:eastAsia="仿宋" w:cs="仿宋"/>
          <w:b/>
          <w:color w:val="000000" w:themeColor="text1"/>
          <w:sz w:val="20"/>
          <w:szCs w:val="20"/>
          <w:highlight w:val="none"/>
          <w14:textFill>
            <w14:solidFill>
              <w14:schemeClr w14:val="tx1"/>
            </w14:solidFill>
          </w14:textFill>
        </w:rPr>
        <w:t>、双方的责任义务</w:t>
      </w:r>
    </w:p>
    <w:p w14:paraId="5A7A305E">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w:t>
      </w:r>
      <w:r>
        <w:rPr>
          <w:rFonts w:hint="eastAsia" w:ascii="仿宋" w:hAnsi="仿宋" w:eastAsia="仿宋" w:cs="仿宋"/>
          <w:color w:val="000000" w:themeColor="text1"/>
          <w:sz w:val="20"/>
          <w:szCs w:val="20"/>
          <w:highlight w:val="none"/>
          <w:lang w:eastAsia="zh-CN"/>
          <w14:textFill>
            <w14:solidFill>
              <w14:schemeClr w14:val="tx1"/>
            </w14:solidFill>
          </w14:textFill>
        </w:rPr>
        <w:t>投标人</w:t>
      </w:r>
      <w:r>
        <w:rPr>
          <w:rFonts w:hint="eastAsia" w:ascii="仿宋" w:hAnsi="仿宋" w:eastAsia="仿宋" w:cs="仿宋"/>
          <w:color w:val="000000" w:themeColor="text1"/>
          <w:sz w:val="20"/>
          <w:szCs w:val="20"/>
          <w:highlight w:val="none"/>
          <w14:textFill>
            <w14:solidFill>
              <w14:schemeClr w14:val="tx1"/>
            </w14:solidFill>
          </w14:textFill>
        </w:rPr>
        <w:t>服务内容应与政府采购招投标文件及本合同所指明的服务内容相一致，确保本项目正常交付使用，并负责后期服务。</w:t>
      </w:r>
    </w:p>
    <w:p w14:paraId="24328CE4">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2.采购人应按合同约定的付款方式向</w:t>
      </w:r>
      <w:r>
        <w:rPr>
          <w:rFonts w:hint="eastAsia" w:ascii="仿宋" w:hAnsi="仿宋" w:eastAsia="仿宋" w:cs="仿宋"/>
          <w:color w:val="000000" w:themeColor="text1"/>
          <w:sz w:val="20"/>
          <w:szCs w:val="20"/>
          <w:highlight w:val="none"/>
          <w:lang w:eastAsia="zh-CN"/>
          <w14:textFill>
            <w14:solidFill>
              <w14:schemeClr w14:val="tx1"/>
            </w14:solidFill>
          </w14:textFill>
        </w:rPr>
        <w:t>投标人</w:t>
      </w:r>
      <w:r>
        <w:rPr>
          <w:rFonts w:hint="eastAsia" w:ascii="仿宋" w:hAnsi="仿宋" w:eastAsia="仿宋" w:cs="仿宋"/>
          <w:color w:val="000000" w:themeColor="text1"/>
          <w:sz w:val="20"/>
          <w:szCs w:val="20"/>
          <w:highlight w:val="none"/>
          <w14:textFill>
            <w14:solidFill>
              <w14:schemeClr w14:val="tx1"/>
            </w14:solidFill>
          </w14:textFill>
        </w:rPr>
        <w:t>支付相关费用。</w:t>
      </w:r>
    </w:p>
    <w:p w14:paraId="26C54DA2">
      <w:pPr>
        <w:pStyle w:val="6"/>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highlight w:val="none"/>
        </w:rPr>
      </w:pPr>
      <w:r>
        <w:rPr>
          <w:rFonts w:hint="eastAsia" w:ascii="仿宋" w:hAnsi="仿宋" w:eastAsia="仿宋" w:cs="仿宋"/>
          <w:sz w:val="20"/>
          <w:szCs w:val="20"/>
          <w:highlight w:val="none"/>
        </w:rPr>
        <w:t>3.</w:t>
      </w:r>
      <w:r>
        <w:rPr>
          <w:rFonts w:hint="eastAsia" w:ascii="仿宋" w:hAnsi="仿宋" w:eastAsia="仿宋" w:cs="仿宋"/>
          <w:color w:val="000000"/>
          <w:sz w:val="20"/>
          <w:szCs w:val="20"/>
          <w:highlight w:val="none"/>
        </w:rPr>
        <w:t>如需乙方提供现场支持服务的，甲方应当尽合理努力为乙方提供办公场所、网络等便利条件。</w:t>
      </w:r>
    </w:p>
    <w:p w14:paraId="50644680">
      <w:pPr>
        <w:pStyle w:val="6"/>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4.乙方确认，甲乙双方不建立劳务派遣关系或类似关系，乙方应向其员工承担用人单位的全部责任。乙方应与其员工签署劳动合同，依法缴纳社会保险，对员工承担用人单位的全部法定责任。</w:t>
      </w:r>
    </w:p>
    <w:p w14:paraId="4464497A">
      <w:pPr>
        <w:pStyle w:val="6"/>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5.甲方不对乙方员工承担任何用人单位或劳务派遣用工单位的责任。无论因任何原因导致甲方向乙方员工或雇员承担任何责任的，甲方有权向乙方追偿。</w:t>
      </w:r>
    </w:p>
    <w:p w14:paraId="65F99E6B">
      <w:pPr>
        <w:pStyle w:val="6"/>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6.甲乙双方不构成代理关系，乙方不得以甲方名义对外签署或发布任何文件、制度等。</w:t>
      </w:r>
    </w:p>
    <w:p w14:paraId="33128321">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lang w:val="en-US" w:eastAsia="zh-CN"/>
          <w14:textFill>
            <w14:solidFill>
              <w14:schemeClr w14:val="tx1"/>
            </w14:solidFill>
          </w14:textFill>
        </w:rPr>
        <w:t>九</w:t>
      </w:r>
      <w:r>
        <w:rPr>
          <w:rFonts w:hint="eastAsia" w:ascii="仿宋" w:hAnsi="仿宋" w:eastAsia="仿宋" w:cs="仿宋"/>
          <w:b/>
          <w:color w:val="000000" w:themeColor="text1"/>
          <w:sz w:val="20"/>
          <w:szCs w:val="20"/>
          <w:highlight w:val="none"/>
          <w14:textFill>
            <w14:solidFill>
              <w14:schemeClr w14:val="tx1"/>
            </w14:solidFill>
          </w14:textFill>
        </w:rPr>
        <w:t>、验收</w:t>
      </w:r>
    </w:p>
    <w:p w14:paraId="241FC15B">
      <w:pPr>
        <w:pStyle w:val="3"/>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1.由采购方组织验收，包括项目验收申请及批复材料、项目中标人基本情况、招投标资料、中标通知书、项目合同、项目实施方案、项目实施总结报告等资料。验收合格后签发《验收意见表》。</w:t>
      </w:r>
    </w:p>
    <w:p w14:paraId="0F244A17">
      <w:pPr>
        <w:pStyle w:val="3"/>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2.验收依据</w:t>
      </w:r>
    </w:p>
    <w:p w14:paraId="6965F04D">
      <w:pPr>
        <w:pStyle w:val="3"/>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（1）合同文本及合同补充文件（条款）。</w:t>
      </w:r>
    </w:p>
    <w:p w14:paraId="70A1EEB1">
      <w:pPr>
        <w:pStyle w:val="3"/>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（2）招标文件。</w:t>
      </w:r>
    </w:p>
    <w:p w14:paraId="1462677B">
      <w:pPr>
        <w:pStyle w:val="3"/>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（3）中标人的投标文件。</w:t>
      </w:r>
    </w:p>
    <w:p w14:paraId="3872C190">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highlight w:val="none"/>
        </w:rPr>
      </w:pPr>
      <w:bookmarkStart w:id="27" w:name="_Toc10839"/>
      <w:bookmarkStart w:id="28" w:name="_Toc2016"/>
      <w:bookmarkStart w:id="29" w:name="_Toc28951"/>
      <w:bookmarkStart w:id="30" w:name="_Toc5502"/>
      <w:r>
        <w:rPr>
          <w:rFonts w:hint="eastAsia" w:ascii="仿宋" w:hAnsi="仿宋" w:eastAsia="仿宋" w:cs="仿宋"/>
          <w:b/>
          <w:sz w:val="20"/>
          <w:szCs w:val="20"/>
          <w:highlight w:val="none"/>
        </w:rPr>
        <w:t>十、保密</w:t>
      </w:r>
    </w:p>
    <w:p w14:paraId="4FDF50E5">
      <w:pPr>
        <w:keepNext w:val="0"/>
        <w:keepLines w:val="0"/>
        <w:pageBreakBefore w:val="0"/>
        <w:tabs>
          <w:tab w:val="left" w:pos="1080"/>
        </w:tabs>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 对工作中了解到的采购人的技术、机密等进行严格保密，不得向他人泄漏。本合同的解除或终止不免除</w:t>
      </w:r>
      <w:r>
        <w:rPr>
          <w:rFonts w:hint="eastAsia" w:ascii="仿宋" w:hAnsi="仿宋" w:eastAsia="仿宋" w:cs="仿宋"/>
          <w:sz w:val="20"/>
          <w:szCs w:val="20"/>
          <w:highlight w:val="none"/>
          <w:lang w:eastAsia="zh-CN"/>
        </w:rPr>
        <w:t>投标人</w:t>
      </w:r>
      <w:r>
        <w:rPr>
          <w:rFonts w:hint="eastAsia" w:ascii="仿宋" w:hAnsi="仿宋" w:eastAsia="仿宋" w:cs="仿宋"/>
          <w:sz w:val="20"/>
          <w:szCs w:val="20"/>
          <w:highlight w:val="none"/>
        </w:rPr>
        <w:t>应承担的保密义务。</w:t>
      </w:r>
    </w:p>
    <w:p w14:paraId="7E4F04E1">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highlight w:val="none"/>
        </w:rPr>
      </w:pPr>
      <w:r>
        <w:rPr>
          <w:rFonts w:hint="eastAsia" w:ascii="仿宋" w:hAnsi="仿宋" w:eastAsia="仿宋" w:cs="仿宋"/>
          <w:b/>
          <w:sz w:val="20"/>
          <w:szCs w:val="20"/>
          <w:highlight w:val="none"/>
        </w:rPr>
        <w:t>十</w:t>
      </w:r>
      <w:r>
        <w:rPr>
          <w:rFonts w:hint="eastAsia" w:ascii="仿宋" w:hAnsi="仿宋" w:eastAsia="仿宋" w:cs="仿宋"/>
          <w:b/>
          <w:sz w:val="20"/>
          <w:szCs w:val="20"/>
          <w:highlight w:val="none"/>
          <w:lang w:val="en-US" w:eastAsia="zh-CN"/>
        </w:rPr>
        <w:t>一</w:t>
      </w:r>
      <w:r>
        <w:rPr>
          <w:rFonts w:hint="eastAsia" w:ascii="仿宋" w:hAnsi="仿宋" w:eastAsia="仿宋" w:cs="仿宋"/>
          <w:b/>
          <w:sz w:val="20"/>
          <w:szCs w:val="20"/>
          <w:highlight w:val="none"/>
        </w:rPr>
        <w:t>、知识产权</w:t>
      </w:r>
    </w:p>
    <w:p w14:paraId="585A4397">
      <w:pPr>
        <w:pStyle w:val="6"/>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投标人应保证投标货物及服务不会出现因第三方提出侵犯其专利权、商标权或其它知识产权而引发法律或经济纠纷，否则由投标人承担全部责任。任何被投标人用于未经授权的商业目的行为所造成的违约或侵权责任由投标人承但。</w:t>
      </w:r>
    </w:p>
    <w:p w14:paraId="4CA5693A">
      <w:pPr>
        <w:keepNext w:val="0"/>
        <w:keepLines w:val="0"/>
        <w:pageBreakBefore w:val="0"/>
        <w:tabs>
          <w:tab w:val="left" w:pos="498"/>
        </w:tabs>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highlight w:val="none"/>
        </w:rPr>
      </w:pPr>
      <w:r>
        <w:rPr>
          <w:rFonts w:hint="eastAsia" w:ascii="仿宋" w:hAnsi="仿宋" w:eastAsia="仿宋" w:cs="仿宋"/>
          <w:b/>
          <w:sz w:val="20"/>
          <w:szCs w:val="20"/>
          <w:highlight w:val="none"/>
        </w:rPr>
        <w:t>十</w:t>
      </w:r>
      <w:r>
        <w:rPr>
          <w:rFonts w:hint="eastAsia" w:ascii="仿宋" w:hAnsi="仿宋" w:eastAsia="仿宋" w:cs="仿宋"/>
          <w:b/>
          <w:sz w:val="20"/>
          <w:szCs w:val="20"/>
          <w:highlight w:val="none"/>
          <w:lang w:val="en-US" w:eastAsia="zh-CN"/>
        </w:rPr>
        <w:t>二</w:t>
      </w:r>
      <w:r>
        <w:rPr>
          <w:rFonts w:hint="eastAsia" w:ascii="仿宋" w:hAnsi="仿宋" w:eastAsia="仿宋" w:cs="仿宋"/>
          <w:b/>
          <w:sz w:val="20"/>
          <w:szCs w:val="20"/>
          <w:highlight w:val="none"/>
        </w:rPr>
        <w:t>、合同争议的解决</w:t>
      </w:r>
      <w:bookmarkEnd w:id="27"/>
      <w:bookmarkEnd w:id="28"/>
      <w:bookmarkEnd w:id="29"/>
      <w:bookmarkEnd w:id="30"/>
    </w:p>
    <w:p w14:paraId="49963E72">
      <w:pPr>
        <w:keepNext w:val="0"/>
        <w:keepLines w:val="0"/>
        <w:pageBreakBefore w:val="0"/>
        <w:tabs>
          <w:tab w:val="left" w:pos="498"/>
        </w:tabs>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highlight w:val="none"/>
        </w:rPr>
      </w:pPr>
      <w:bookmarkStart w:id="31" w:name="_Toc30951"/>
      <w:bookmarkStart w:id="32" w:name="_Toc23875"/>
      <w:bookmarkStart w:id="33" w:name="_Toc4195"/>
      <w:bookmarkStart w:id="34" w:name="_Toc10407"/>
      <w:r>
        <w:rPr>
          <w:rFonts w:hint="eastAsia" w:ascii="仿宋" w:hAnsi="仿宋" w:eastAsia="仿宋" w:cs="仿宋"/>
          <w:sz w:val="20"/>
          <w:szCs w:val="20"/>
          <w:highlight w:val="none"/>
        </w:rPr>
        <w:t>合同执行中发生争议的，当事人双方应协商解决，协商达不成一致时，可向采购人所在地人民法院提请诉讼。</w:t>
      </w:r>
      <w:bookmarkEnd w:id="31"/>
      <w:bookmarkEnd w:id="32"/>
      <w:bookmarkEnd w:id="33"/>
      <w:bookmarkEnd w:id="34"/>
    </w:p>
    <w:p w14:paraId="4DF7748F">
      <w:pPr>
        <w:keepNext w:val="0"/>
        <w:keepLines w:val="0"/>
        <w:pageBreakBefore w:val="0"/>
        <w:tabs>
          <w:tab w:val="left" w:pos="498"/>
        </w:tabs>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highlight w:val="none"/>
          <w14:textFill>
            <w14:solidFill>
              <w14:schemeClr w14:val="tx1"/>
            </w14:solidFill>
          </w14:textFill>
        </w:rPr>
      </w:pPr>
      <w:bookmarkStart w:id="35" w:name="_Toc9278"/>
      <w:bookmarkStart w:id="36" w:name="_Toc8978"/>
      <w:bookmarkStart w:id="37" w:name="_Toc9175"/>
      <w:bookmarkStart w:id="38" w:name="_Toc31489"/>
      <w:r>
        <w:rPr>
          <w:rFonts w:hint="eastAsia" w:ascii="仿宋" w:hAnsi="仿宋" w:eastAsia="仿宋" w:cs="仿宋"/>
          <w:b/>
          <w:color w:val="000000" w:themeColor="text1"/>
          <w:sz w:val="20"/>
          <w:szCs w:val="20"/>
          <w:highlight w:val="none"/>
          <w14:textFill>
            <w14:solidFill>
              <w14:schemeClr w14:val="tx1"/>
            </w14:solidFill>
          </w14:textFill>
        </w:rPr>
        <w:t>十</w:t>
      </w:r>
      <w:r>
        <w:rPr>
          <w:rFonts w:hint="eastAsia" w:ascii="仿宋" w:hAnsi="仿宋" w:eastAsia="仿宋" w:cs="仿宋"/>
          <w:b/>
          <w:color w:val="000000" w:themeColor="text1"/>
          <w:sz w:val="20"/>
          <w:szCs w:val="20"/>
          <w:highlight w:val="none"/>
          <w:lang w:val="en-US" w:eastAsia="zh-CN"/>
          <w14:textFill>
            <w14:solidFill>
              <w14:schemeClr w14:val="tx1"/>
            </w14:solidFill>
          </w14:textFill>
        </w:rPr>
        <w:t>三</w:t>
      </w:r>
      <w:r>
        <w:rPr>
          <w:rFonts w:hint="eastAsia" w:ascii="仿宋" w:hAnsi="仿宋" w:eastAsia="仿宋" w:cs="仿宋"/>
          <w:b/>
          <w:color w:val="000000" w:themeColor="text1"/>
          <w:sz w:val="20"/>
          <w:szCs w:val="20"/>
          <w:highlight w:val="none"/>
          <w14:textFill>
            <w14:solidFill>
              <w14:schemeClr w14:val="tx1"/>
            </w14:solidFill>
          </w14:textFill>
        </w:rPr>
        <w:t>、不可抗力情况下的免责约定</w:t>
      </w:r>
      <w:bookmarkEnd w:id="35"/>
      <w:bookmarkEnd w:id="36"/>
      <w:bookmarkEnd w:id="37"/>
      <w:bookmarkEnd w:id="38"/>
    </w:p>
    <w:p w14:paraId="16E30D25">
      <w:pPr>
        <w:keepNext w:val="0"/>
        <w:keepLines w:val="0"/>
        <w:pageBreakBefore w:val="0"/>
        <w:tabs>
          <w:tab w:val="left" w:pos="498"/>
        </w:tabs>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双方约定在以下不可抗力情况下互不承担责任，共同协商解决。双方不可预见、不可避免、不可克服的客观情况，但不包括双方的违约或疏忽，这些事件包括但不限于：战争、严重火灾、洪水、台风、地震等。</w:t>
      </w:r>
    </w:p>
    <w:p w14:paraId="1FBB8530">
      <w:pPr>
        <w:keepNext w:val="0"/>
        <w:keepLines w:val="0"/>
        <w:pageBreakBefore w:val="0"/>
        <w:tabs>
          <w:tab w:val="left" w:pos="498"/>
        </w:tabs>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sz w:val="20"/>
          <w:szCs w:val="20"/>
          <w:highlight w:val="none"/>
        </w:rPr>
      </w:pPr>
      <w:r>
        <w:rPr>
          <w:rFonts w:hint="eastAsia" w:ascii="仿宋" w:hAnsi="仿宋" w:eastAsia="仿宋" w:cs="仿宋"/>
          <w:b/>
          <w:sz w:val="20"/>
          <w:szCs w:val="20"/>
          <w:highlight w:val="none"/>
        </w:rPr>
        <w:t>十</w:t>
      </w:r>
      <w:r>
        <w:rPr>
          <w:rFonts w:hint="eastAsia" w:ascii="仿宋" w:hAnsi="仿宋" w:eastAsia="仿宋" w:cs="仿宋"/>
          <w:b/>
          <w:sz w:val="20"/>
          <w:szCs w:val="20"/>
          <w:highlight w:val="none"/>
          <w:lang w:val="en-US" w:eastAsia="zh-CN"/>
        </w:rPr>
        <w:t>四</w:t>
      </w:r>
      <w:r>
        <w:rPr>
          <w:rFonts w:hint="eastAsia" w:ascii="仿宋" w:hAnsi="仿宋" w:eastAsia="仿宋" w:cs="仿宋"/>
          <w:b/>
          <w:sz w:val="20"/>
          <w:szCs w:val="20"/>
          <w:highlight w:val="none"/>
        </w:rPr>
        <w:t>、终止合同</w:t>
      </w:r>
    </w:p>
    <w:p w14:paraId="0566B482">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highlight w:val="none"/>
        </w:rPr>
      </w:pPr>
      <w:bookmarkStart w:id="39" w:name="_Toc5406"/>
      <w:bookmarkStart w:id="40" w:name="_Toc14819"/>
      <w:bookmarkStart w:id="41" w:name="_Toc21744"/>
      <w:bookmarkStart w:id="42" w:name="_Toc21549"/>
      <w:r>
        <w:rPr>
          <w:rFonts w:hint="eastAsia" w:ascii="仿宋" w:hAnsi="仿宋" w:eastAsia="仿宋" w:cs="仿宋"/>
          <w:sz w:val="20"/>
          <w:szCs w:val="20"/>
          <w:highlight w:val="none"/>
        </w:rPr>
        <w:t>除本合同约定，合同一经签订，不得擅自变更、中止或者终止合同。对确需变更、调整或者中止、终止合同的，应按规定履行相应的手续。</w:t>
      </w:r>
      <w:bookmarkEnd w:id="39"/>
      <w:bookmarkEnd w:id="40"/>
      <w:bookmarkEnd w:id="41"/>
      <w:bookmarkEnd w:id="42"/>
    </w:p>
    <w:p w14:paraId="1656E619">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highlight w:val="none"/>
          <w14:textFill>
            <w14:solidFill>
              <w14:schemeClr w14:val="tx1"/>
            </w14:solidFill>
          </w14:textFill>
        </w:rPr>
      </w:pPr>
      <w:bookmarkStart w:id="43" w:name="_Toc30688"/>
      <w:bookmarkStart w:id="44" w:name="_Toc3221"/>
      <w:bookmarkStart w:id="45" w:name="_Toc15052"/>
      <w:bookmarkStart w:id="46" w:name="_Toc9263"/>
      <w:r>
        <w:rPr>
          <w:rFonts w:hint="eastAsia" w:ascii="仿宋" w:hAnsi="仿宋" w:eastAsia="仿宋" w:cs="仿宋"/>
          <w:b/>
          <w:color w:val="000000" w:themeColor="text1"/>
          <w:sz w:val="20"/>
          <w:szCs w:val="20"/>
          <w:highlight w:val="none"/>
          <w14:textFill>
            <w14:solidFill>
              <w14:schemeClr w14:val="tx1"/>
            </w14:solidFill>
          </w14:textFill>
        </w:rPr>
        <w:t>十</w:t>
      </w:r>
      <w:r>
        <w:rPr>
          <w:rFonts w:hint="eastAsia" w:ascii="仿宋" w:hAnsi="仿宋" w:eastAsia="仿宋" w:cs="仿宋"/>
          <w:b/>
          <w:color w:val="000000" w:themeColor="text1"/>
          <w:sz w:val="20"/>
          <w:szCs w:val="20"/>
          <w:highlight w:val="none"/>
          <w:lang w:val="en-US" w:eastAsia="zh-CN"/>
          <w14:textFill>
            <w14:solidFill>
              <w14:schemeClr w14:val="tx1"/>
            </w14:solidFill>
          </w14:textFill>
        </w:rPr>
        <w:t>五</w:t>
      </w:r>
      <w:r>
        <w:rPr>
          <w:rFonts w:hint="eastAsia" w:ascii="仿宋" w:hAnsi="仿宋" w:eastAsia="仿宋" w:cs="仿宋"/>
          <w:b/>
          <w:color w:val="000000" w:themeColor="text1"/>
          <w:sz w:val="20"/>
          <w:szCs w:val="20"/>
          <w:highlight w:val="none"/>
          <w14:textFill>
            <w14:solidFill>
              <w14:schemeClr w14:val="tx1"/>
            </w14:solidFill>
          </w14:textFill>
        </w:rPr>
        <w:t>、违约责任</w:t>
      </w:r>
      <w:bookmarkEnd w:id="43"/>
      <w:bookmarkEnd w:id="44"/>
      <w:bookmarkEnd w:id="45"/>
      <w:bookmarkEnd w:id="46"/>
    </w:p>
    <w:p w14:paraId="78E2F754">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1.按《中华人民共和国合同法》中的相关条款执行。</w:t>
      </w:r>
    </w:p>
    <w:p w14:paraId="608A429C">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2.未按合同要求提供服务的，采购方有权终止合同，并对供方违约行为进行追究，同时按《政府采购法》的有关规定进行处罚。</w:t>
      </w:r>
    </w:p>
    <w:p w14:paraId="3BBB2783">
      <w:pPr>
        <w:keepNext w:val="0"/>
        <w:keepLines w:val="0"/>
        <w:pageBreakBefore w:val="0"/>
        <w:wordWrap/>
        <w:overflowPunct/>
        <w:topLinePunct w:val="0"/>
        <w:bidi w:val="0"/>
        <w:adjustRightInd w:val="0"/>
        <w:snapToGrid w:val="0"/>
        <w:spacing w:line="360" w:lineRule="auto"/>
        <w:ind w:left="0" w:firstLine="402" w:firstLineChars="200"/>
        <w:jc w:val="left"/>
        <w:textAlignment w:val="auto"/>
        <w:outlineLvl w:val="9"/>
        <w:rPr>
          <w:rFonts w:hint="eastAsia" w:ascii="仿宋" w:hAnsi="仿宋" w:eastAsia="仿宋" w:cs="仿宋"/>
          <w:b/>
          <w:bCs/>
          <w:sz w:val="20"/>
          <w:szCs w:val="20"/>
          <w:highlight w:val="none"/>
        </w:rPr>
      </w:pPr>
      <w:r>
        <w:rPr>
          <w:rFonts w:hint="eastAsia" w:ascii="仿宋" w:hAnsi="仿宋" w:eastAsia="仿宋" w:cs="仿宋"/>
          <w:b/>
          <w:bCs/>
          <w:color w:val="000000"/>
          <w:sz w:val="20"/>
          <w:szCs w:val="20"/>
          <w:highlight w:val="none"/>
        </w:rPr>
        <w:t>十</w:t>
      </w:r>
      <w:r>
        <w:rPr>
          <w:rFonts w:hint="eastAsia" w:ascii="仿宋" w:hAnsi="仿宋" w:eastAsia="仿宋" w:cs="仿宋"/>
          <w:b/>
          <w:bCs/>
          <w:color w:val="000000"/>
          <w:sz w:val="20"/>
          <w:szCs w:val="20"/>
          <w:highlight w:val="none"/>
          <w:lang w:val="en-US" w:eastAsia="zh-CN"/>
        </w:rPr>
        <w:t>六</w:t>
      </w:r>
      <w:r>
        <w:rPr>
          <w:rFonts w:hint="eastAsia" w:ascii="仿宋" w:hAnsi="仿宋" w:eastAsia="仿宋" w:cs="仿宋"/>
          <w:b/>
          <w:bCs/>
          <w:color w:val="000000"/>
          <w:sz w:val="20"/>
          <w:szCs w:val="20"/>
          <w:highlight w:val="none"/>
        </w:rPr>
        <w:t>、</w:t>
      </w:r>
      <w:r>
        <w:rPr>
          <w:rFonts w:hint="eastAsia" w:ascii="仿宋" w:hAnsi="仿宋" w:eastAsia="仿宋" w:cs="仿宋"/>
          <w:b/>
          <w:bCs/>
          <w:sz w:val="20"/>
          <w:szCs w:val="20"/>
          <w:highlight w:val="none"/>
        </w:rPr>
        <w:t>反商业贿赂</w:t>
      </w:r>
    </w:p>
    <w:p w14:paraId="4B5D0B8C">
      <w:pPr>
        <w:pStyle w:val="6"/>
        <w:keepNext w:val="0"/>
        <w:keepLines w:val="0"/>
        <w:pageBreakBefore w:val="0"/>
        <w:wordWrap/>
        <w:overflowPunct/>
        <w:topLinePunct w:val="0"/>
        <w:bidi w:val="0"/>
        <w:adjustRightInd w:val="0"/>
        <w:snapToGrid w:val="0"/>
        <w:spacing w:beforeAutospacing="0" w:afterAutospacing="0" w:line="360" w:lineRule="auto"/>
        <w:ind w:left="0" w:firstLine="400" w:firstLineChars="200"/>
        <w:jc w:val="left"/>
        <w:textAlignment w:val="auto"/>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37BC313D">
      <w:pPr>
        <w:keepNext w:val="0"/>
        <w:keepLines w:val="0"/>
        <w:pageBreakBefore w:val="0"/>
        <w:wordWrap/>
        <w:overflowPunct/>
        <w:topLinePunct w:val="0"/>
        <w:bidi w:val="0"/>
        <w:adjustRightInd w:val="0"/>
        <w:snapToGrid w:val="0"/>
        <w:spacing w:line="360" w:lineRule="auto"/>
        <w:ind w:left="0" w:firstLine="402" w:firstLineChars="200"/>
        <w:jc w:val="left"/>
        <w:textAlignment w:val="auto"/>
        <w:rPr>
          <w:rFonts w:hint="eastAsia" w:ascii="仿宋" w:hAnsi="仿宋" w:eastAsia="仿宋" w:cs="仿宋"/>
          <w:b/>
          <w:color w:val="000000" w:themeColor="text1"/>
          <w:sz w:val="20"/>
          <w:szCs w:val="20"/>
          <w:highlight w:val="none"/>
          <w14:textFill>
            <w14:solidFill>
              <w14:schemeClr w14:val="tx1"/>
            </w14:solidFill>
          </w14:textFill>
        </w:rPr>
      </w:pPr>
      <w:bookmarkStart w:id="47" w:name="_Toc17133"/>
      <w:bookmarkStart w:id="48" w:name="_Toc18504"/>
      <w:bookmarkStart w:id="49" w:name="_Toc30221"/>
      <w:bookmarkStart w:id="50" w:name="_Toc22900"/>
      <w:r>
        <w:rPr>
          <w:rFonts w:hint="eastAsia" w:ascii="仿宋" w:hAnsi="仿宋" w:eastAsia="仿宋" w:cs="仿宋"/>
          <w:b/>
          <w:color w:val="000000" w:themeColor="text1"/>
          <w:sz w:val="20"/>
          <w:szCs w:val="20"/>
          <w:highlight w:val="none"/>
          <w14:textFill>
            <w14:solidFill>
              <w14:schemeClr w14:val="tx1"/>
            </w14:solidFill>
          </w14:textFill>
        </w:rPr>
        <w:t>十</w:t>
      </w:r>
      <w:r>
        <w:rPr>
          <w:rFonts w:hint="eastAsia" w:ascii="仿宋" w:hAnsi="仿宋" w:eastAsia="仿宋" w:cs="仿宋"/>
          <w:b/>
          <w:color w:val="000000" w:themeColor="text1"/>
          <w:sz w:val="20"/>
          <w:szCs w:val="20"/>
          <w:highlight w:val="none"/>
          <w:lang w:val="en-US" w:eastAsia="zh-CN"/>
          <w14:textFill>
            <w14:solidFill>
              <w14:schemeClr w14:val="tx1"/>
            </w14:solidFill>
          </w14:textFill>
        </w:rPr>
        <w:t>七</w:t>
      </w:r>
      <w:r>
        <w:rPr>
          <w:rFonts w:hint="eastAsia" w:ascii="仿宋" w:hAnsi="仿宋" w:eastAsia="仿宋" w:cs="仿宋"/>
          <w:b/>
          <w:color w:val="000000" w:themeColor="text1"/>
          <w:sz w:val="20"/>
          <w:szCs w:val="20"/>
          <w:highlight w:val="none"/>
          <w14:textFill>
            <w14:solidFill>
              <w14:schemeClr w14:val="tx1"/>
            </w14:solidFill>
          </w14:textFill>
        </w:rPr>
        <w:t>、</w:t>
      </w:r>
      <w:bookmarkEnd w:id="47"/>
      <w:bookmarkEnd w:id="48"/>
      <w:bookmarkEnd w:id="49"/>
      <w:bookmarkEnd w:id="50"/>
      <w:r>
        <w:rPr>
          <w:rFonts w:hint="eastAsia" w:ascii="仿宋" w:hAnsi="仿宋" w:eastAsia="仿宋" w:cs="仿宋"/>
          <w:b/>
          <w:color w:val="000000" w:themeColor="text1"/>
          <w:sz w:val="20"/>
          <w:szCs w:val="20"/>
          <w:highlight w:val="none"/>
          <w14:textFill>
            <w14:solidFill>
              <w14:schemeClr w14:val="tx1"/>
            </w14:solidFill>
          </w14:textFill>
        </w:rPr>
        <w:t>其他</w:t>
      </w:r>
    </w:p>
    <w:p w14:paraId="318B6D58">
      <w:pPr>
        <w:keepNext w:val="0"/>
        <w:keepLines w:val="0"/>
        <w:pageBreakBefore w:val="0"/>
        <w:tabs>
          <w:tab w:val="left" w:pos="980"/>
        </w:tabs>
        <w:kinsoku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1.本合同签订时同步签订保密协议,详见附件。附件是本合同的一部分，具有与本合同同等的法律效力。</w:t>
      </w:r>
    </w:p>
    <w:p w14:paraId="01F635C7">
      <w:pPr>
        <w:keepNext w:val="0"/>
        <w:keepLines w:val="0"/>
        <w:pageBreakBefore w:val="0"/>
        <w:tabs>
          <w:tab w:val="left" w:pos="980"/>
        </w:tabs>
        <w:kinsoku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2.本合同一式</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份，具有同等法律效力，双方各执</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份，监管部门备案壹份、采购代理机构存档壹份。各方签字盖章后生效。</w:t>
      </w:r>
    </w:p>
    <w:p w14:paraId="5E46E0D9">
      <w:pPr>
        <w:pStyle w:val="5"/>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highlight w:val="none"/>
        </w:rPr>
      </w:pPr>
    </w:p>
    <w:p w14:paraId="513B8170">
      <w:pPr>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53C58593">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采购人（甲方）：</w:t>
      </w:r>
      <w:r>
        <w:rPr>
          <w:rFonts w:hint="eastAsia" w:ascii="仿宋" w:hAnsi="仿宋" w:eastAsia="仿宋" w:cs="仿宋"/>
          <w:sz w:val="20"/>
          <w:szCs w:val="20"/>
          <w:highlight w:val="none"/>
          <w:u w:val="single"/>
        </w:rPr>
        <w:t xml:space="preserve">   （盖章）       </w:t>
      </w:r>
      <w:r>
        <w:rPr>
          <w:rFonts w:hint="eastAsia" w:ascii="仿宋" w:hAnsi="仿宋" w:eastAsia="仿宋" w:cs="仿宋"/>
          <w:sz w:val="20"/>
          <w:szCs w:val="20"/>
          <w:highlight w:val="none"/>
        </w:rPr>
        <w:t xml:space="preserve">        </w:t>
      </w:r>
      <w:r>
        <w:rPr>
          <w:rFonts w:hint="eastAsia" w:ascii="仿宋" w:hAnsi="仿宋" w:eastAsia="仿宋" w:cs="仿宋"/>
          <w:sz w:val="20"/>
          <w:szCs w:val="20"/>
          <w:highlight w:val="none"/>
          <w:lang w:eastAsia="zh-CN"/>
        </w:rPr>
        <w:t>投标人</w:t>
      </w:r>
      <w:r>
        <w:rPr>
          <w:rFonts w:hint="eastAsia" w:ascii="仿宋" w:hAnsi="仿宋" w:eastAsia="仿宋" w:cs="仿宋"/>
          <w:sz w:val="20"/>
          <w:szCs w:val="20"/>
          <w:highlight w:val="none"/>
        </w:rPr>
        <w:t>（乙方）：</w:t>
      </w:r>
      <w:r>
        <w:rPr>
          <w:rFonts w:hint="eastAsia" w:ascii="仿宋" w:hAnsi="仿宋" w:eastAsia="仿宋" w:cs="仿宋"/>
          <w:sz w:val="20"/>
          <w:szCs w:val="20"/>
          <w:highlight w:val="none"/>
          <w:u w:val="single"/>
        </w:rPr>
        <w:t xml:space="preserve">   （盖章）         </w:t>
      </w:r>
    </w:p>
    <w:p w14:paraId="0A26C74F">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地址： </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 xml:space="preserve">                地址：</w:t>
      </w:r>
      <w:r>
        <w:rPr>
          <w:rFonts w:hint="eastAsia" w:ascii="仿宋" w:hAnsi="仿宋" w:eastAsia="仿宋" w:cs="仿宋"/>
          <w:sz w:val="20"/>
          <w:szCs w:val="20"/>
          <w:highlight w:val="none"/>
          <w:u w:val="single"/>
        </w:rPr>
        <w:t xml:space="preserve">                   </w:t>
      </w:r>
    </w:p>
    <w:p w14:paraId="381E03DC">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b/>
          <w:bCs/>
          <w:sz w:val="20"/>
          <w:szCs w:val="20"/>
          <w:highlight w:val="none"/>
        </w:rPr>
      </w:pPr>
      <w:r>
        <w:rPr>
          <w:rFonts w:hint="eastAsia" w:ascii="仿宋" w:hAnsi="仿宋" w:eastAsia="仿宋" w:cs="仿宋"/>
          <w:sz w:val="20"/>
          <w:szCs w:val="20"/>
          <w:highlight w:val="none"/>
        </w:rPr>
        <w:t>法定代表人或                             法定代表人或</w:t>
      </w:r>
    </w:p>
    <w:p w14:paraId="504B3721">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其授权的代理人                           其授权的代理人</w:t>
      </w:r>
    </w:p>
    <w:p w14:paraId="220A6D5D">
      <w:pPr>
        <w:keepNext w:val="0"/>
        <w:keepLines w:val="0"/>
        <w:pageBreakBefore w:val="0"/>
        <w:wordWrap/>
        <w:overflowPunct/>
        <w:topLinePunct w:val="0"/>
        <w:bidi w:val="0"/>
        <w:adjustRightInd w:val="0"/>
        <w:snapToGrid w:val="0"/>
        <w:spacing w:line="360" w:lineRule="auto"/>
        <w:ind w:left="0"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（签字或盖章）： </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 xml:space="preserve">             （签字或盖章）：</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 xml:space="preserve">  </w:t>
      </w:r>
    </w:p>
    <w:p w14:paraId="160F3C81">
      <w:r>
        <w:rPr>
          <w:rFonts w:hint="eastAsia" w:ascii="仿宋" w:hAnsi="仿宋" w:eastAsia="仿宋" w:cs="仿宋"/>
          <w:sz w:val="20"/>
          <w:szCs w:val="20"/>
          <w:highlight w:val="none"/>
        </w:rPr>
        <w:t xml:space="preserve">订立时间： </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             订立时间：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bookmarkStart w:id="51" w:name="_GoBack"/>
      <w:bookmarkEnd w:id="5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06335F"/>
    <w:multiLevelType w:val="singleLevel"/>
    <w:tmpl w:val="B606335F"/>
    <w:lvl w:ilvl="0" w:tentative="0">
      <w:start w:val="5"/>
      <w:numFmt w:val="chineseCounting"/>
      <w:suff w:val="nothing"/>
      <w:lvlText w:val="%1、"/>
      <w:lvlJc w:val="left"/>
      <w:rPr>
        <w:rFonts w:hint="eastAsia"/>
      </w:rPr>
    </w:lvl>
  </w:abstractNum>
  <w:abstractNum w:abstractNumId="1">
    <w:nsid w:val="5CE63809"/>
    <w:multiLevelType w:val="multilevel"/>
    <w:tmpl w:val="5CE63809"/>
    <w:lvl w:ilvl="0" w:tentative="0">
      <w:start w:val="1"/>
      <w:numFmt w:val="chineseCountingThousand"/>
      <w:suff w:val="space"/>
      <w:lvlText w:val="%1、"/>
      <w:lvlJc w:val="left"/>
      <w:pPr>
        <w:ind w:left="0" w:firstLine="0"/>
      </w:pPr>
      <w:rPr>
        <w:rFonts w:hint="eastAsia"/>
      </w:rPr>
    </w:lvl>
    <w:lvl w:ilvl="1" w:tentative="0">
      <w:start w:val="1"/>
      <w:numFmt w:val="decimal"/>
      <w:pStyle w:val="2"/>
      <w:isLgl/>
      <w:suff w:val="space"/>
      <w:lvlText w:val="%2"/>
      <w:lvlJc w:val="left"/>
      <w:pPr>
        <w:ind w:left="0" w:firstLine="0"/>
      </w:pPr>
      <w:rPr>
        <w:rFonts w:hint="eastAsia"/>
      </w:rPr>
    </w:lvl>
    <w:lvl w:ilvl="2" w:tentative="0">
      <w:start w:val="1"/>
      <w:numFmt w:val="decimal"/>
      <w:isLgl/>
      <w:suff w:val="space"/>
      <w:lvlText w:val="%2.%3"/>
      <w:lvlJc w:val="left"/>
      <w:pPr>
        <w:ind w:left="0" w:firstLine="0"/>
      </w:pPr>
      <w:rPr>
        <w:rFonts w:hint="eastAsia"/>
      </w:rPr>
    </w:lvl>
    <w:lvl w:ilvl="3" w:tentative="0">
      <w:start w:val="1"/>
      <w:numFmt w:val="decimal"/>
      <w:isLgl/>
      <w:suff w:val="space"/>
      <w:lvlText w:val="%2.%3.%4"/>
      <w:lvlJc w:val="left"/>
      <w:pPr>
        <w:ind w:left="0" w:firstLine="0"/>
      </w:pPr>
      <w:rPr>
        <w:rFonts w:hint="eastAsia"/>
      </w:rPr>
    </w:lvl>
    <w:lvl w:ilvl="4" w:tentative="0">
      <w:start w:val="1"/>
      <w:numFmt w:val="decimal"/>
      <w:lvlText w:val="%2.%3.%4.%5"/>
      <w:lvlJc w:val="left"/>
      <w:pPr>
        <w:ind w:left="0" w:firstLine="0"/>
      </w:p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61562F56"/>
    <w:multiLevelType w:val="singleLevel"/>
    <w:tmpl w:val="61562F56"/>
    <w:lvl w:ilvl="0" w:tentative="0">
      <w:start w:val="1"/>
      <w:numFmt w:val="decimal"/>
      <w:suff w:val="nothing"/>
      <w:lvlText w:val="%1．"/>
      <w:lvlJc w:val="left"/>
      <w:pPr>
        <w:ind w:left="705"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F6493A"/>
    <w:rsid w:val="26F649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numPr>
        <w:ilvl w:val="1"/>
        <w:numId w:val="1"/>
      </w:numPr>
      <w:tabs>
        <w:tab w:val="left" w:pos="1152"/>
      </w:tabs>
      <w:spacing w:before="120" w:after="120"/>
      <w:outlineLvl w:val="1"/>
    </w:pPr>
    <w:rPr>
      <w:rFonts w:ascii="黑体" w:eastAsia="黑体" w:hAnsiTheme="majorHAnsi" w:cstheme="majorBidi"/>
      <w:b/>
      <w:bCs/>
      <w:sz w:val="32"/>
      <w:szCs w:val="32"/>
      <w:shd w:val="clear" w:color="auto" w:fill="FFFFFF"/>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1"/>
    <w:qFormat/>
    <w:uiPriority w:val="0"/>
    <w:rPr>
      <w:color w:val="993300"/>
      <w:sz w:val="24"/>
    </w:rPr>
  </w:style>
  <w:style w:type="paragraph" w:styleId="6">
    <w:name w:val="Normal (Web)"/>
    <w:basedOn w:val="1"/>
    <w:qFormat/>
    <w:uiPriority w:val="99"/>
    <w:pPr>
      <w:widowControl/>
      <w:spacing w:before="100" w:beforeAutospacing="1" w:after="100" w:afterAutospacing="1" w:line="240" w:lineRule="auto"/>
      <w:jc w:val="left"/>
    </w:pPr>
    <w:rPr>
      <w:rFonts w:eastAsiaTheme="minorEastAsia"/>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2025-12-01T07:31:00Z</dcterms:created>
  <dc:creator>德仁招标</dc:creator>
  <cp:lastModifiedBy>德仁招标</cp:lastModifiedBy>
  <dcterms:modified xsi:type="dcterms:W3CDTF">2025-12-01T07:32:13Z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272611BCADF94F41B03941402C448FCC_11</vt:lpwstr>
  </property>
  <property fmtid="{D5CDD505-2E9C-101B-9397-08002B2CF9AE}" pid="4" name="KSOTemplateDocerSaveRecord">
    <vt:lpwstr>eyJoZGlkIjoiNzNmNDZlOGE4YzBiODhkNTY3NTdiYjNiMTljZmEwZTciLCJ1c2VySWQiOiIyNzQ5OTcwMTQifQ==</vt:lpwstr>
  </property>
</Properties>
</file>