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版本号：ZJXG2025096.1B120251210001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陕西省计生特殊家庭父母意外、疾病住院护理保险(二次)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ZJXG2025096.1B1</w:t>
      </w:r>
      <w:r>
        <w:br/>
      </w:r>
      <w:r>
        <w:br/>
      </w:r>
      <w:r>
        <w:br/>
      </w:r>
    </w:p>
    <w:p>
      <w:pPr>
        <w:pStyle w:val="null3"/>
        <w:jc w:val="center"/>
        <w:outlineLvl w:val="2"/>
      </w:pPr>
      <w:r>
        <w:rPr>
          <w:rFonts w:ascii="仿宋_GB2312" w:hAnsi="仿宋_GB2312" w:cs="仿宋_GB2312" w:eastAsia="仿宋_GB2312"/>
          <w:sz w:val="28"/>
          <w:b/>
        </w:rPr>
        <w:t>陕西省计划生育协会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陕西省计划生育协会</w:t>
      </w:r>
      <w:r>
        <w:rPr>
          <w:rFonts w:ascii="仿宋_GB2312" w:hAnsi="仿宋_GB2312" w:cs="仿宋_GB2312" w:eastAsia="仿宋_GB2312"/>
        </w:rPr>
        <w:t>委托，拟对</w:t>
      </w:r>
      <w:r>
        <w:rPr>
          <w:rFonts w:ascii="仿宋_GB2312" w:hAnsi="仿宋_GB2312" w:cs="仿宋_GB2312" w:eastAsia="仿宋_GB2312"/>
        </w:rPr>
        <w:t>陕西省计生特殊家庭父母意外、疾病住院护理保险(二次)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ZJXG2025096.1B1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陕西省计生特殊家庭父母意外、疾病住院护理保险(二次)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陕西省计生特殊家庭父母意外、疾病住院护理保险项目，具体内容详见招标文件。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1、有效的主体资格证明：具有独立承担民事责任能力的法人、其他组织或自然人，并出具合法有效的相关证明材料。投标人需在项目电子化交易系统中按要求上传相应证明文件并进行电子签章。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3、税收缴纳证明：提供2025年至今已缴纳的1个月的纳税证明或完税证明，依法免税的单位应提供相关证明材料。投标人需在项目电子化交易系统中按要求上传相应证明文件并进行电子签章。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pPr>
        <w:pStyle w:val="null3"/>
      </w:pPr>
      <w:r>
        <w:rPr>
          <w:rFonts w:ascii="仿宋_GB2312" w:hAnsi="仿宋_GB2312" w:cs="仿宋_GB2312" w:eastAsia="仿宋_GB2312"/>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投标人需在项目电子化交易系统中按要求上传相应证明文件并进行电子签章。</w:t>
      </w:r>
    </w:p>
    <w:p>
      <w:pPr>
        <w:pStyle w:val="null3"/>
      </w:pPr>
      <w:r>
        <w:rPr>
          <w:rFonts w:ascii="仿宋_GB2312" w:hAnsi="仿宋_GB2312" w:cs="仿宋_GB2312" w:eastAsia="仿宋_GB2312"/>
        </w:rPr>
        <w:t>8、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节点为投标文件递交截止之时）。投标人需在项目电子化交易系统中按要求上传相应证明文件并进行电子签章。</w:t>
      </w:r>
    </w:p>
    <w:p>
      <w:pPr>
        <w:pStyle w:val="null3"/>
      </w:pPr>
      <w:r>
        <w:rPr>
          <w:rFonts w:ascii="仿宋_GB2312" w:hAnsi="仿宋_GB2312" w:cs="仿宋_GB2312" w:eastAsia="仿宋_GB2312"/>
        </w:rPr>
        <w:t>9、企业资质：投标人须提供具有行业监督管理部门颁发的保险许可证。投标人需在项目电子化交易系统中按要求上传相应证明文件并进行电子签章。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投标人不得参加同一合同项下的政府采购活动。投标人需在项目电子化交易系统中按要求上传相应证明文件并进行电子签章。②为本项目提供整体设计、规范编制或者项目管理、监理、检测等服务的投标人，不得再参加该采购项目的其他采购活动。投标人需在项目电子化交易系统中按要求上传相应证明文件并进行电子签章。</w:t>
      </w:r>
    </w:p>
    <w:p>
      <w:pPr>
        <w:pStyle w:val="null3"/>
      </w:pPr>
      <w:r>
        <w:rPr>
          <w:rFonts w:ascii="仿宋_GB2312" w:hAnsi="仿宋_GB2312" w:cs="仿宋_GB2312" w:eastAsia="仿宋_GB2312"/>
        </w:rPr>
        <w:t>11、是否接受联合体投标：本合同包不接受联合体投标，提供非联合体投标声明。投标人需在项目电子化交易系统中按要求上传相应证明文件并进行电子签章。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陕西省计划生育协会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西安市莲湖区崇新里18号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文件收费标准下浮30%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陕西省计划生育协会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陕西省计划生育协会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陕西省计划生育协会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 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陕西省计生特殊家庭父母意外、疾病住院护理保险，具体内容详见招标文件。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6,230,000.00</w:t>
      </w:r>
    </w:p>
    <w:p>
      <w:pPr>
        <w:pStyle w:val="null3"/>
      </w:pPr>
      <w:r>
        <w:rPr>
          <w:rFonts w:ascii="仿宋_GB2312" w:hAnsi="仿宋_GB2312" w:cs="仿宋_GB2312" w:eastAsia="仿宋_GB2312"/>
        </w:rPr>
        <w:t>采购包最高限价（元）: 6,230,000.00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陕西省计生特殊家庭父母意外、疾病住院护理保险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标的名称：陕西省计生特殊家庭父母意外、疾病住院护理保险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3.1采购项目概况</w:t>
            </w:r>
          </w:p>
          <w:p>
            <w:pPr>
              <w:pStyle w:val="null3"/>
            </w:pPr>
            <w:r>
              <w:rPr>
                <w:rFonts w:ascii="仿宋_GB2312" w:hAnsi="仿宋_GB2312" w:cs="仿宋_GB2312" w:eastAsia="仿宋_GB2312"/>
                <w:sz w:val="20"/>
                <w:b/>
              </w:rPr>
              <w:t>服务名称</w:t>
            </w:r>
            <w:r>
              <w:rPr>
                <w:rFonts w:ascii="仿宋_GB2312" w:hAnsi="仿宋_GB2312" w:cs="仿宋_GB2312" w:eastAsia="仿宋_GB2312"/>
                <w:sz w:val="20"/>
                <w:b/>
              </w:rPr>
              <w:t>:</w:t>
            </w:r>
            <w:r>
              <w:rPr>
                <w:rFonts w:ascii="仿宋_GB2312" w:hAnsi="仿宋_GB2312" w:cs="仿宋_GB2312" w:eastAsia="仿宋_GB2312"/>
                <w:sz w:val="20"/>
              </w:rPr>
              <w:t>陕西省计生特殊家庭父母意外、疾病住院护理保险</w:t>
            </w:r>
          </w:p>
          <w:p>
            <w:pPr>
              <w:pStyle w:val="null3"/>
            </w:pPr>
            <w:r>
              <w:rPr>
                <w:rFonts w:ascii="仿宋_GB2312" w:hAnsi="仿宋_GB2312" w:cs="仿宋_GB2312" w:eastAsia="仿宋_GB2312"/>
                <w:sz w:val="20"/>
                <w:b/>
              </w:rPr>
              <w:t>采购内容</w:t>
            </w:r>
            <w:r>
              <w:rPr>
                <w:rFonts w:ascii="仿宋_GB2312" w:hAnsi="仿宋_GB2312" w:cs="仿宋_GB2312" w:eastAsia="仿宋_GB2312"/>
                <w:sz w:val="20"/>
                <w:b/>
              </w:rPr>
              <w:t>:</w:t>
            </w:r>
            <w:r>
              <w:rPr>
                <w:rFonts w:ascii="仿宋_GB2312" w:hAnsi="仿宋_GB2312" w:cs="仿宋_GB2312" w:eastAsia="仿宋_GB2312"/>
                <w:sz w:val="20"/>
              </w:rPr>
              <w:t>为全省</w:t>
            </w:r>
            <w:r>
              <w:rPr>
                <w:rFonts w:ascii="仿宋_GB2312" w:hAnsi="仿宋_GB2312" w:cs="仿宋_GB2312" w:eastAsia="仿宋_GB2312"/>
                <w:sz w:val="20"/>
              </w:rPr>
              <w:t>49岁以上计生特殊家庭父母购买意外、疾病住院护理保险</w:t>
            </w:r>
          </w:p>
          <w:p>
            <w:pPr>
              <w:pStyle w:val="null3"/>
            </w:pPr>
            <w:r>
              <w:rPr>
                <w:rFonts w:ascii="仿宋_GB2312" w:hAnsi="仿宋_GB2312" w:cs="仿宋_GB2312" w:eastAsia="仿宋_GB2312"/>
                <w:sz w:val="20"/>
                <w:b/>
              </w:rPr>
              <w:t>主要功能或目标</w:t>
            </w:r>
            <w:r>
              <w:rPr>
                <w:rFonts w:ascii="仿宋_GB2312" w:hAnsi="仿宋_GB2312" w:cs="仿宋_GB2312" w:eastAsia="仿宋_GB2312"/>
                <w:sz w:val="20"/>
                <w:b/>
              </w:rPr>
              <w:t>:</w:t>
            </w:r>
            <w:r>
              <w:rPr>
                <w:rFonts w:ascii="仿宋_GB2312" w:hAnsi="仿宋_GB2312" w:cs="仿宋_GB2312" w:eastAsia="仿宋_GB2312"/>
                <w:sz w:val="20"/>
              </w:rPr>
              <w:t>投保总人数</w:t>
            </w:r>
            <w:r>
              <w:rPr>
                <w:rFonts w:ascii="仿宋_GB2312" w:hAnsi="仿宋_GB2312" w:cs="仿宋_GB2312" w:eastAsia="仿宋_GB2312"/>
                <w:sz w:val="20"/>
              </w:rPr>
              <w:t>31681人。意外、疾病住院的对象赔付标准为全年累计90天、特级护理每人每天130元、其他护理级别每人每天110元，对于身故的一次性赔付6000元，因意外或疾病致残的保险金额为10000元/人/年，理赔时按伤残比例一次性支付(以上赔付包含既往病史)</w:t>
            </w:r>
          </w:p>
          <w:p>
            <w:pPr>
              <w:pStyle w:val="null3"/>
            </w:pPr>
            <w:r>
              <w:rPr>
                <w:rFonts w:ascii="仿宋_GB2312" w:hAnsi="仿宋_GB2312" w:cs="仿宋_GB2312" w:eastAsia="仿宋_GB2312"/>
                <w:sz w:val="20"/>
                <w:b/>
              </w:rPr>
              <w:t>需满足的要求</w:t>
            </w:r>
            <w:r>
              <w:rPr>
                <w:rFonts w:ascii="仿宋_GB2312" w:hAnsi="仿宋_GB2312" w:cs="仿宋_GB2312" w:eastAsia="仿宋_GB2312"/>
                <w:sz w:val="20"/>
                <w:b/>
              </w:rPr>
              <w:t>:</w:t>
            </w:r>
            <w:r>
              <w:rPr>
                <w:rFonts w:ascii="仿宋_GB2312" w:hAnsi="仿宋_GB2312" w:cs="仿宋_GB2312" w:eastAsia="仿宋_GB2312"/>
                <w:sz w:val="20"/>
              </w:rPr>
              <w:t>因意外住院护理、疾病住院护理、丧葬补助金、残疾补助金</w:t>
            </w:r>
          </w:p>
          <w:p>
            <w:pPr>
              <w:pStyle w:val="null3"/>
            </w:pPr>
            <w:r>
              <w:rPr>
                <w:rFonts w:ascii="仿宋_GB2312" w:hAnsi="仿宋_GB2312" w:cs="仿宋_GB2312" w:eastAsia="仿宋_GB2312"/>
                <w:sz w:val="20"/>
              </w:rPr>
              <w:t>注：被保险人因疾病出险，须包含既往病史疾病</w:t>
            </w:r>
          </w:p>
          <w:p>
            <w:pPr>
              <w:pStyle w:val="null3"/>
            </w:pPr>
            <w:r>
              <w:rPr>
                <w:rFonts w:ascii="仿宋_GB2312" w:hAnsi="仿宋_GB2312" w:cs="仿宋_GB2312" w:eastAsia="仿宋_GB2312"/>
                <w:sz w:val="20"/>
                <w:b/>
              </w:rPr>
              <w:t>3.2服务内容及服务要求</w:t>
            </w:r>
          </w:p>
          <w:p>
            <w:pPr>
              <w:pStyle w:val="null3"/>
            </w:pPr>
            <w:r>
              <w:rPr>
                <w:rFonts w:ascii="仿宋_GB2312" w:hAnsi="仿宋_GB2312" w:cs="仿宋_GB2312" w:eastAsia="仿宋_GB2312"/>
                <w:sz w:val="20"/>
              </w:rPr>
              <w:t>3.2.1服务内容</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w:t>
            </w:r>
          </w:p>
          <w:p>
            <w:pPr>
              <w:pStyle w:val="null3"/>
            </w:pPr>
            <w:r>
              <w:rPr>
                <w:rFonts w:ascii="仿宋_GB2312" w:hAnsi="仿宋_GB2312" w:cs="仿宋_GB2312" w:eastAsia="仿宋_GB2312"/>
                <w:sz w:val="20"/>
              </w:rPr>
              <w:t>采购包预算金额（元）</w:t>
            </w:r>
            <w:r>
              <w:rPr>
                <w:rFonts w:ascii="仿宋_GB2312" w:hAnsi="仿宋_GB2312" w:cs="仿宋_GB2312" w:eastAsia="仿宋_GB2312"/>
                <w:sz w:val="20"/>
              </w:rPr>
              <w:t>:6,230,000.00</w:t>
            </w:r>
          </w:p>
          <w:p>
            <w:pPr>
              <w:pStyle w:val="null3"/>
            </w:pPr>
            <w:r>
              <w:rPr>
                <w:rFonts w:ascii="仿宋_GB2312" w:hAnsi="仿宋_GB2312" w:cs="仿宋_GB2312" w:eastAsia="仿宋_GB2312"/>
                <w:sz w:val="20"/>
              </w:rPr>
              <w:t>采购包最高限价（元）</w:t>
            </w:r>
            <w:r>
              <w:rPr>
                <w:rFonts w:ascii="仿宋_GB2312" w:hAnsi="仿宋_GB2312" w:cs="仿宋_GB2312" w:eastAsia="仿宋_GB2312"/>
                <w:sz w:val="20"/>
              </w:rPr>
              <w:t>:6,230,000.00</w:t>
            </w:r>
          </w:p>
          <w:p>
            <w:pPr>
              <w:pStyle w:val="null3"/>
            </w:pPr>
            <w:r>
              <w:rPr>
                <w:rFonts w:ascii="仿宋_GB2312" w:hAnsi="仿宋_GB2312" w:cs="仿宋_GB2312" w:eastAsia="仿宋_GB2312"/>
                <w:sz w:val="20"/>
              </w:rPr>
              <w:t>供应商报价不允许超过标的金额</w:t>
            </w:r>
          </w:p>
          <w:p>
            <w:pPr>
              <w:pStyle w:val="null3"/>
            </w:pPr>
            <w:r>
              <w:rPr>
                <w:rFonts w:ascii="仿宋_GB2312" w:hAnsi="仿宋_GB2312" w:cs="仿宋_GB2312" w:eastAsia="仿宋_GB2312"/>
                <w:sz w:val="20"/>
              </w:rPr>
              <w:t>（招标总价的）供应商报价不允许超过标的总价</w:t>
            </w:r>
          </w:p>
          <w:tbl>
            <w:tblPr>
              <w:tblBorders>
                <w:top w:val="none" w:color="000000" w:sz="4"/>
                <w:left w:val="none" w:color="000000" w:sz="4"/>
                <w:bottom w:val="none" w:color="000000" w:sz="4"/>
                <w:right w:val="none" w:color="000000" w:sz="4"/>
                <w:insideH w:val="none"/>
                <w:insideV w:val="none"/>
              </w:tblBorders>
            </w:tblPr>
            <w:tblGrid>
              <w:gridCol w:w="153"/>
              <w:gridCol w:w="288"/>
              <w:gridCol w:w="299"/>
              <w:gridCol w:w="522"/>
              <w:gridCol w:w="200"/>
              <w:gridCol w:w="200"/>
              <w:gridCol w:w="194"/>
              <w:gridCol w:w="182"/>
              <w:gridCol w:w="158"/>
              <w:gridCol w:w="358"/>
            </w:tblGrid>
            <w:tr>
              <w:tc>
                <w:tcPr>
                  <w:tcW w:type="dxa" w:w="1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序号</w:t>
                  </w:r>
                </w:p>
              </w:tc>
              <w:tc>
                <w:tcPr>
                  <w:tcW w:type="dxa" w:w="2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标的名称</w:t>
                  </w:r>
                </w:p>
              </w:tc>
              <w:tc>
                <w:tcPr>
                  <w:tcW w:type="dxa" w:w="2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数量</w:t>
                  </w:r>
                </w:p>
              </w:tc>
              <w:tc>
                <w:tcPr>
                  <w:tcW w:type="dxa" w:w="5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标的金额（元）</w:t>
                  </w:r>
                </w:p>
              </w:tc>
              <w:tc>
                <w:tcPr>
                  <w:tcW w:type="dxa" w:w="2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计量单位</w:t>
                  </w:r>
                </w:p>
              </w:tc>
              <w:tc>
                <w:tcPr>
                  <w:tcW w:type="dxa" w:w="2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所属行业</w:t>
                  </w:r>
                </w:p>
              </w:tc>
              <w:tc>
                <w:tcPr>
                  <w:tcW w:type="dxa" w:w="1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是否核心产品</w:t>
                  </w:r>
                </w:p>
              </w:tc>
              <w:tc>
                <w:tcPr>
                  <w:tcW w:type="dxa" w:w="1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是否允许进口产品</w:t>
                  </w:r>
                </w:p>
              </w:tc>
              <w:tc>
                <w:tcPr>
                  <w:tcW w:type="dxa" w:w="1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是否属于节能产品</w:t>
                  </w:r>
                </w:p>
              </w:tc>
              <w:tc>
                <w:tcPr>
                  <w:tcW w:type="dxa" w:w="3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是否属于环境标志产品</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陕西省计生特殊家庭父母意外、疾病住院护理保险</w:t>
                  </w:r>
                </w:p>
              </w:tc>
              <w:tc>
                <w:tcPr>
                  <w:tcW w:type="dxa" w:w="2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1.00</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6,230,000.00</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项</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租赁和商务服务业</w:t>
                  </w:r>
                </w:p>
              </w:tc>
              <w:tc>
                <w:tcPr>
                  <w:tcW w:type="dxa" w:w="1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否</w:t>
                  </w:r>
                </w:p>
              </w:tc>
              <w:tc>
                <w:tcPr>
                  <w:tcW w:type="dxa" w:w="1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否</w:t>
                  </w:r>
                </w:p>
              </w:tc>
              <w:tc>
                <w:tcPr>
                  <w:tcW w:type="dxa" w:w="1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否</w:t>
                  </w:r>
                </w:p>
              </w:tc>
              <w:tc>
                <w:tcPr>
                  <w:tcW w:type="dxa" w:w="3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否</w:t>
                  </w:r>
                </w:p>
              </w:tc>
            </w:tr>
          </w:tbl>
          <w:p>
            <w:pPr>
              <w:pStyle w:val="null3"/>
            </w:pPr>
            <w:r>
              <w:rPr>
                <w:rFonts w:ascii="仿宋_GB2312" w:hAnsi="仿宋_GB2312" w:cs="仿宋_GB2312" w:eastAsia="仿宋_GB2312"/>
                <w:sz w:val="20"/>
              </w:rPr>
              <w:t>3.2.2服务要求</w:t>
            </w:r>
          </w:p>
          <w:tbl>
            <w:tblPr>
              <w:tblBorders>
                <w:top w:val="none" w:color="000000" w:sz="4"/>
                <w:left w:val="none" w:color="000000" w:sz="4"/>
                <w:bottom w:val="none" w:color="000000" w:sz="4"/>
                <w:right w:val="none" w:color="000000" w:sz="4"/>
                <w:insideH w:val="none"/>
                <w:insideV w:val="none"/>
              </w:tblBorders>
            </w:tblPr>
            <w:tblGrid>
              <w:gridCol w:w="274"/>
              <w:gridCol w:w="274"/>
              <w:gridCol w:w="2005"/>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参数性质</w:t>
                  </w:r>
                </w:p>
              </w:tc>
              <w:tc>
                <w:tcPr>
                  <w:tcW w:type="dxa" w:w="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序号</w:t>
                  </w:r>
                </w:p>
              </w:tc>
              <w:tc>
                <w:tcPr>
                  <w:tcW w:type="dxa" w:w="20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技术参数与性能指标</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w:t>
                  </w:r>
                </w:p>
              </w:tc>
              <w:tc>
                <w:tcPr>
                  <w:tcW w:type="dxa" w:w="20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为方便</w:t>
                  </w:r>
                  <w:r>
                    <w:rPr>
                      <w:rFonts w:ascii="仿宋_GB2312" w:hAnsi="仿宋_GB2312" w:cs="仿宋_GB2312" w:eastAsia="仿宋_GB2312"/>
                      <w:sz w:val="20"/>
                    </w:rPr>
                    <w:t>49岁以上计生特殊家庭成员理赔，尽量选择在全省10个地市均有</w:t>
                  </w:r>
                  <w:r>
                    <w:rPr>
                      <w:rFonts w:ascii="仿宋_GB2312" w:hAnsi="仿宋_GB2312" w:cs="仿宋_GB2312" w:eastAsia="仿宋_GB2312"/>
                      <w:sz w:val="20"/>
                    </w:rPr>
                    <w:t>分支机构</w:t>
                  </w:r>
                  <w:r>
                    <w:rPr>
                      <w:rFonts w:ascii="仿宋_GB2312" w:hAnsi="仿宋_GB2312" w:cs="仿宋_GB2312" w:eastAsia="仿宋_GB2312"/>
                      <w:sz w:val="20"/>
                    </w:rPr>
                    <w:t>的保险公司</w:t>
                  </w:r>
                </w:p>
              </w:tc>
            </w:tr>
          </w:tbl>
          <w:p>
            <w:pPr>
              <w:pStyle w:val="null3"/>
            </w:pPr>
            <w:r>
              <w:rPr>
                <w:rFonts w:ascii="仿宋_GB2312" w:hAnsi="仿宋_GB2312" w:cs="仿宋_GB2312" w:eastAsia="仿宋_GB2312"/>
                <w:sz w:val="20"/>
                <w:b/>
              </w:rPr>
              <w:t>3.3商务要求</w:t>
            </w:r>
          </w:p>
          <w:p>
            <w:pPr>
              <w:pStyle w:val="null3"/>
            </w:pPr>
            <w:r>
              <w:rPr>
                <w:rFonts w:ascii="仿宋_GB2312" w:hAnsi="仿宋_GB2312" w:cs="仿宋_GB2312" w:eastAsia="仿宋_GB2312"/>
                <w:sz w:val="20"/>
              </w:rPr>
              <w:t>3.3.1服务期限</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1：2025年7月1日0点到2026年6月30日24点。</w:t>
            </w:r>
          </w:p>
          <w:p>
            <w:pPr>
              <w:pStyle w:val="null3"/>
            </w:pPr>
            <w:r>
              <w:rPr>
                <w:rFonts w:ascii="仿宋_GB2312" w:hAnsi="仿宋_GB2312" w:cs="仿宋_GB2312" w:eastAsia="仿宋_GB2312"/>
                <w:sz w:val="20"/>
              </w:rPr>
              <w:t>3.3.2服务地点</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w:t>
            </w:r>
          </w:p>
          <w:p>
            <w:pPr>
              <w:pStyle w:val="null3"/>
            </w:pPr>
            <w:r>
              <w:rPr>
                <w:rFonts w:ascii="仿宋_GB2312" w:hAnsi="仿宋_GB2312" w:cs="仿宋_GB2312" w:eastAsia="仿宋_GB2312"/>
                <w:sz w:val="20"/>
              </w:rPr>
              <w:t>采购人指定地点。</w:t>
            </w:r>
          </w:p>
          <w:p>
            <w:pPr>
              <w:pStyle w:val="null3"/>
            </w:pPr>
            <w:r>
              <w:rPr>
                <w:rFonts w:ascii="仿宋_GB2312" w:hAnsi="仿宋_GB2312" w:cs="仿宋_GB2312" w:eastAsia="仿宋_GB2312"/>
                <w:sz w:val="20"/>
              </w:rPr>
              <w:t>3.3.3考核（验收）标准和方法</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采购包</w:t>
            </w:r>
            <w:r>
              <w:rPr>
                <w:rFonts w:ascii="仿宋_GB2312" w:hAnsi="仿宋_GB2312" w:cs="仿宋_GB2312" w:eastAsia="仿宋_GB2312"/>
                <w:sz w:val="20"/>
              </w:rPr>
              <w:t>1：按照合同要求</w:t>
            </w:r>
          </w:p>
          <w:p>
            <w:pPr>
              <w:pStyle w:val="null3"/>
            </w:pPr>
            <w:r>
              <w:rPr>
                <w:rFonts w:ascii="仿宋_GB2312" w:hAnsi="仿宋_GB2312" w:cs="仿宋_GB2312" w:eastAsia="仿宋_GB2312"/>
                <w:sz w:val="20"/>
              </w:rPr>
              <w:t>3.3.4支付方式</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w:t>
            </w:r>
          </w:p>
          <w:p>
            <w:pPr>
              <w:pStyle w:val="null3"/>
            </w:pPr>
            <w:r>
              <w:rPr>
                <w:rFonts w:ascii="仿宋_GB2312" w:hAnsi="仿宋_GB2312" w:cs="仿宋_GB2312" w:eastAsia="仿宋_GB2312"/>
                <w:sz w:val="20"/>
              </w:rPr>
              <w:t>一次付清</w:t>
            </w:r>
          </w:p>
          <w:p>
            <w:pPr>
              <w:pStyle w:val="null3"/>
            </w:pPr>
            <w:r>
              <w:rPr>
                <w:rFonts w:ascii="仿宋_GB2312" w:hAnsi="仿宋_GB2312" w:cs="仿宋_GB2312" w:eastAsia="仿宋_GB2312"/>
                <w:sz w:val="20"/>
              </w:rPr>
              <w:t>3.3.5.支付约定</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 付款条件说明：</w:t>
            </w:r>
            <w:r>
              <w:rPr>
                <w:rFonts w:ascii="仿宋_GB2312" w:hAnsi="仿宋_GB2312" w:cs="仿宋_GB2312" w:eastAsia="仿宋_GB2312"/>
                <w:sz w:val="20"/>
              </w:rPr>
              <w:t>合同签订生效后</w:t>
            </w:r>
            <w:r>
              <w:rPr>
                <w:rFonts w:ascii="仿宋_GB2312" w:hAnsi="仿宋_GB2312" w:cs="仿宋_GB2312" w:eastAsia="仿宋_GB2312"/>
                <w:sz w:val="20"/>
              </w:rPr>
              <w:t>成交供应商向采购人提供足额发票，采购人在收到发票后</w:t>
            </w:r>
            <w:r>
              <w:rPr>
                <w:rFonts w:ascii="仿宋_GB2312" w:hAnsi="仿宋_GB2312" w:cs="仿宋_GB2312" w:eastAsia="仿宋_GB2312"/>
                <w:sz w:val="20"/>
              </w:rPr>
              <w:t>30日内一次性支付合同总价，</w:t>
            </w:r>
            <w:r>
              <w:rPr>
                <w:rFonts w:ascii="仿宋_GB2312" w:hAnsi="仿宋_GB2312" w:cs="仿宋_GB2312" w:eastAsia="仿宋_GB2312"/>
                <w:sz w:val="20"/>
              </w:rPr>
              <w:t>成交供应商</w:t>
            </w:r>
            <w:r>
              <w:rPr>
                <w:rFonts w:ascii="仿宋_GB2312" w:hAnsi="仿宋_GB2312" w:cs="仿宋_GB2312" w:eastAsia="仿宋_GB2312"/>
                <w:sz w:val="20"/>
              </w:rPr>
              <w:t>在</w:t>
            </w:r>
            <w:r>
              <w:rPr>
                <w:rFonts w:ascii="仿宋_GB2312" w:hAnsi="仿宋_GB2312" w:cs="仿宋_GB2312" w:eastAsia="仿宋_GB2312"/>
                <w:sz w:val="20"/>
              </w:rPr>
              <w:t>收到采购人支付的合同总价后</w:t>
            </w:r>
            <w:r>
              <w:rPr>
                <w:rFonts w:ascii="仿宋_GB2312" w:hAnsi="仿宋_GB2312" w:cs="仿宋_GB2312" w:eastAsia="仿宋_GB2312"/>
                <w:sz w:val="20"/>
              </w:rPr>
              <w:t>5</w:t>
            </w:r>
            <w:r>
              <w:rPr>
                <w:rFonts w:ascii="仿宋_GB2312" w:hAnsi="仿宋_GB2312" w:cs="仿宋_GB2312" w:eastAsia="仿宋_GB2312"/>
                <w:sz w:val="20"/>
              </w:rPr>
              <w:t>个工作日内向采购人出具正式保险单。</w:t>
            </w:r>
          </w:p>
          <w:p>
            <w:pPr>
              <w:pStyle w:val="null3"/>
            </w:pPr>
            <w:r>
              <w:rPr>
                <w:rFonts w:ascii="仿宋_GB2312" w:hAnsi="仿宋_GB2312" w:cs="仿宋_GB2312" w:eastAsia="仿宋_GB2312"/>
                <w:sz w:val="20"/>
              </w:rPr>
              <w:t>3.3.6违约责任与解决争议的方法</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w:t>
            </w:r>
          </w:p>
          <w:p>
            <w:pPr>
              <w:pStyle w:val="null3"/>
            </w:pPr>
            <w:r>
              <w:rPr>
                <w:rFonts w:ascii="仿宋_GB2312" w:hAnsi="仿宋_GB2312" w:cs="仿宋_GB2312" w:eastAsia="仿宋_GB2312"/>
                <w:sz w:val="20"/>
              </w:rPr>
              <w:t>执行本合同中产生纠纷，由双方协商解决；协商不成，向</w:t>
            </w:r>
            <w:r>
              <w:rPr>
                <w:rFonts w:ascii="仿宋_GB2312" w:hAnsi="仿宋_GB2312" w:cs="仿宋_GB2312" w:eastAsia="仿宋_GB2312"/>
                <w:sz w:val="20"/>
              </w:rPr>
              <w:t>甲方所在地的</w:t>
            </w:r>
            <w:r>
              <w:rPr>
                <w:rFonts w:ascii="仿宋_GB2312" w:hAnsi="仿宋_GB2312" w:cs="仿宋_GB2312" w:eastAsia="仿宋_GB2312"/>
                <w:sz w:val="20"/>
              </w:rPr>
              <w:t>人民法院提起诉讼。</w:t>
            </w:r>
          </w:p>
          <w:p>
            <w:pPr>
              <w:pStyle w:val="null3"/>
            </w:pPr>
            <w:r>
              <w:rPr>
                <w:rFonts w:ascii="仿宋_GB2312" w:hAnsi="仿宋_GB2312" w:cs="仿宋_GB2312" w:eastAsia="仿宋_GB2312"/>
                <w:sz w:val="20"/>
                <w:b/>
              </w:rPr>
              <w:t>3.4售后服务：</w:t>
            </w:r>
          </w:p>
          <w:p>
            <w:pPr>
              <w:pStyle w:val="null3"/>
            </w:pPr>
            <w:r>
              <w:rPr>
                <w:rFonts w:ascii="仿宋_GB2312" w:hAnsi="仿宋_GB2312" w:cs="仿宋_GB2312" w:eastAsia="仿宋_GB2312"/>
                <w:sz w:val="20"/>
              </w:rPr>
              <w:t>（</w:t>
            </w:r>
            <w:r>
              <w:rPr>
                <w:rFonts w:ascii="仿宋_GB2312" w:hAnsi="仿宋_GB2312" w:cs="仿宋_GB2312" w:eastAsia="仿宋_GB2312"/>
                <w:sz w:val="20"/>
              </w:rPr>
              <w:t>1）供应商应在全省下辖机构，指定专人负责并提供联系电话，负责受理被保险人的咨询及理赔服务。</w:t>
            </w:r>
          </w:p>
          <w:p>
            <w:pPr>
              <w:pStyle w:val="null3"/>
            </w:pPr>
            <w:r>
              <w:rPr>
                <w:rFonts w:ascii="仿宋_GB2312" w:hAnsi="仿宋_GB2312" w:cs="仿宋_GB2312" w:eastAsia="仿宋_GB2312"/>
                <w:sz w:val="20"/>
              </w:rPr>
              <w:t>（</w:t>
            </w:r>
            <w:r>
              <w:rPr>
                <w:rFonts w:ascii="仿宋_GB2312" w:hAnsi="仿宋_GB2312" w:cs="仿宋_GB2312" w:eastAsia="仿宋_GB2312"/>
                <w:sz w:val="20"/>
              </w:rPr>
              <w:t>2）理赔手续应简单合理，设有快速理赔通道，提供上门理赔服务。</w:t>
            </w:r>
          </w:p>
          <w:p>
            <w:pPr>
              <w:pStyle w:val="null3"/>
            </w:pPr>
            <w:r>
              <w:rPr>
                <w:rFonts w:ascii="仿宋_GB2312" w:hAnsi="仿宋_GB2312" w:cs="仿宋_GB2312" w:eastAsia="仿宋_GB2312"/>
                <w:sz w:val="20"/>
              </w:rPr>
              <w:t>（</w:t>
            </w:r>
            <w:r>
              <w:rPr>
                <w:rFonts w:ascii="仿宋_GB2312" w:hAnsi="仿宋_GB2312" w:cs="仿宋_GB2312" w:eastAsia="仿宋_GB2312"/>
                <w:sz w:val="20"/>
              </w:rPr>
              <w:t>3）保险公司应在做出理赔核定并划拨保险金后及时将理赔金额告知被保险人。服务形式为电话、网络、现场等，确保解决问题时限，发生参保人员提出赔付申请等相关问题，接到参保人联系后，应于工作时间内2小时（非工作时间日内4小时）及时联系参保人员主动提供解决赔付等相关问题的解决流程及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4）供应商定期向采购人提供服务分析报告，包含赔付、日常服务执行情况等。</w:t>
            </w:r>
          </w:p>
          <w:p>
            <w:pPr>
              <w:pStyle w:val="null3"/>
            </w:pPr>
            <w:r>
              <w:rPr>
                <w:rFonts w:ascii="仿宋_GB2312" w:hAnsi="仿宋_GB2312" w:cs="仿宋_GB2312" w:eastAsia="仿宋_GB2312"/>
                <w:sz w:val="20"/>
                <w:b/>
              </w:rPr>
              <w:t>3.5关于投保等待期</w:t>
            </w:r>
          </w:p>
          <w:p>
            <w:pPr>
              <w:pStyle w:val="null3"/>
            </w:pPr>
            <w:r>
              <w:rPr>
                <w:rFonts w:ascii="仿宋_GB2312" w:hAnsi="仿宋_GB2312" w:cs="仿宋_GB2312" w:eastAsia="仿宋_GB2312"/>
                <w:sz w:val="20"/>
              </w:rPr>
              <w:t>上一年度已投保过人员不因中标保险公司的变化产生等待期，本年度新增投保人员可依照有关法律规定保留投保等待期；</w:t>
            </w:r>
          </w:p>
          <w:p>
            <w:pPr>
              <w:pStyle w:val="null3"/>
            </w:pPr>
            <w:r>
              <w:rPr>
                <w:rFonts w:ascii="仿宋_GB2312" w:hAnsi="仿宋_GB2312" w:cs="仿宋_GB2312" w:eastAsia="仿宋_GB2312"/>
                <w:sz w:val="20"/>
              </w:rPr>
              <w:t>备注：</w:t>
            </w:r>
          </w:p>
          <w:p>
            <w:pPr>
              <w:pStyle w:val="null3"/>
            </w:pPr>
            <w:r>
              <w:rPr>
                <w:rFonts w:ascii="仿宋_GB2312" w:hAnsi="仿宋_GB2312" w:cs="仿宋_GB2312" w:eastAsia="仿宋_GB2312"/>
                <w:sz w:val="20"/>
              </w:rPr>
              <w:t>（</w:t>
            </w:r>
            <w:r>
              <w:rPr>
                <w:rFonts w:ascii="仿宋_GB2312" w:hAnsi="仿宋_GB2312" w:cs="仿宋_GB2312" w:eastAsia="仿宋_GB2312"/>
                <w:sz w:val="20"/>
              </w:rPr>
              <w:t>1）关于后期服务：</w:t>
            </w:r>
            <w:r>
              <w:rPr>
                <w:rFonts w:ascii="仿宋_GB2312" w:hAnsi="仿宋_GB2312" w:cs="仿宋_GB2312" w:eastAsia="仿宋_GB2312"/>
                <w:sz w:val="20"/>
              </w:rPr>
              <w:t>成交供应商</w:t>
            </w:r>
            <w:r>
              <w:rPr>
                <w:rFonts w:ascii="仿宋_GB2312" w:hAnsi="仿宋_GB2312" w:cs="仿宋_GB2312" w:eastAsia="仿宋_GB2312"/>
                <w:sz w:val="20"/>
              </w:rPr>
              <w:t>需要保障采购方的日常走访慰问活动；</w:t>
            </w:r>
          </w:p>
          <w:p>
            <w:pPr>
              <w:pStyle w:val="null3"/>
            </w:pPr>
            <w:r>
              <w:rPr>
                <w:rFonts w:ascii="仿宋_GB2312" w:hAnsi="仿宋_GB2312" w:cs="仿宋_GB2312" w:eastAsia="仿宋_GB2312"/>
                <w:sz w:val="20"/>
              </w:rPr>
              <w:t>（</w:t>
            </w:r>
            <w:r>
              <w:rPr>
                <w:rFonts w:ascii="仿宋_GB2312" w:hAnsi="仿宋_GB2312" w:cs="仿宋_GB2312" w:eastAsia="仿宋_GB2312"/>
                <w:sz w:val="20"/>
              </w:rPr>
              <w:t>2）关于招标服务费及项目自评的费用</w:t>
            </w:r>
            <w:r>
              <w:rPr>
                <w:rFonts w:ascii="仿宋_GB2312" w:hAnsi="仿宋_GB2312" w:cs="仿宋_GB2312" w:eastAsia="仿宋_GB2312"/>
                <w:sz w:val="20"/>
              </w:rPr>
              <w:t>，包</w:t>
            </w:r>
            <w:r>
              <w:rPr>
                <w:rFonts w:ascii="仿宋_GB2312" w:hAnsi="仿宋_GB2312" w:cs="仿宋_GB2312" w:eastAsia="仿宋_GB2312"/>
                <w:sz w:val="20"/>
              </w:rPr>
              <w:t>含在总预算里面。</w:t>
            </w:r>
          </w:p>
          <w:p>
            <w:pPr>
              <w:pStyle w:val="null3"/>
            </w:pPr>
            <w:r>
              <w:rPr>
                <w:rFonts w:ascii="仿宋_GB2312" w:hAnsi="仿宋_GB2312" w:cs="仿宋_GB2312" w:eastAsia="仿宋_GB2312"/>
                <w:sz w:val="20"/>
                <w:b/>
              </w:rPr>
              <w:t>3.6费用与付款方式</w:t>
            </w:r>
          </w:p>
          <w:p>
            <w:pPr>
              <w:pStyle w:val="null3"/>
            </w:pPr>
            <w:r>
              <w:rPr>
                <w:rFonts w:ascii="仿宋_GB2312" w:hAnsi="仿宋_GB2312" w:cs="仿宋_GB2312" w:eastAsia="仿宋_GB2312"/>
                <w:sz w:val="20"/>
              </w:rPr>
              <w:t>1.本项目服务费采用包干制，应包括服务成本、法定税费和利润。由供应商根据采购文件所提供的资料自行测算投标报价；一经中标，报价总价作为中标人与采购人签定的合同金额，合同期限内不</w:t>
            </w:r>
            <w:r>
              <w:rPr>
                <w:rFonts w:ascii="仿宋_GB2312" w:hAnsi="仿宋_GB2312" w:cs="仿宋_GB2312" w:eastAsia="仿宋_GB2312"/>
                <w:sz w:val="20"/>
              </w:rPr>
              <w:t>作</w:t>
            </w:r>
            <w:r>
              <w:rPr>
                <w:rFonts w:ascii="仿宋_GB2312" w:hAnsi="仿宋_GB2312" w:cs="仿宋_GB2312" w:eastAsia="仿宋_GB2312"/>
                <w:sz w:val="20"/>
              </w:rPr>
              <w:t>调整；</w:t>
            </w:r>
          </w:p>
          <w:p>
            <w:pPr>
              <w:pStyle w:val="null3"/>
            </w:pPr>
            <w:r>
              <w:rPr>
                <w:rFonts w:ascii="仿宋_GB2312" w:hAnsi="仿宋_GB2312" w:cs="仿宋_GB2312" w:eastAsia="仿宋_GB2312"/>
                <w:sz w:val="20"/>
              </w:rPr>
              <w:t>2.投标人应当根据本机构的成本自行决定报价，但不得以低于成本的报价投标；</w:t>
            </w:r>
          </w:p>
          <w:p>
            <w:pPr>
              <w:pStyle w:val="null3"/>
            </w:pPr>
            <w:r>
              <w:rPr>
                <w:rFonts w:ascii="仿宋_GB2312" w:hAnsi="仿宋_GB2312" w:cs="仿宋_GB2312" w:eastAsia="仿宋_GB2312"/>
                <w:sz w:val="20"/>
              </w:rPr>
              <w:t>3.投标人的报价，不得超过项目预算金额；</w:t>
            </w:r>
          </w:p>
          <w:p>
            <w:pPr>
              <w:pStyle w:val="null3"/>
            </w:pPr>
            <w:r>
              <w:rPr>
                <w:rFonts w:ascii="仿宋_GB2312" w:hAnsi="仿宋_GB2312" w:cs="仿宋_GB2312" w:eastAsia="仿宋_GB2312"/>
                <w:sz w:val="20"/>
              </w:rPr>
              <w:t>4.投标人的报价，应当是本项目采购范围和采购文件及合同条款上所列的各项内容中所述的全部，不得以任何理由予以重复；</w:t>
            </w:r>
          </w:p>
          <w:p>
            <w:pPr>
              <w:pStyle w:val="null3"/>
            </w:pPr>
            <w:r>
              <w:rPr>
                <w:rFonts w:ascii="仿宋_GB2312" w:hAnsi="仿宋_GB2312" w:cs="仿宋_GB2312" w:eastAsia="仿宋_GB2312"/>
                <w:sz w:val="20"/>
              </w:rPr>
              <w:t>5.除非采购人通过修改采购文件予以更正，否则，投标供应商应毫无例外地按响应文件所列的清单中项目和数量填报综合单价和合价。投标人未填综合单价或合价的项目，在实施后，将不得以支付，并视作该项费用已包括在其它有价款的综合单价或合价内；</w:t>
            </w:r>
          </w:p>
          <w:p>
            <w:pPr>
              <w:pStyle w:val="null3"/>
            </w:pPr>
            <w:r>
              <w:rPr>
                <w:rFonts w:ascii="仿宋_GB2312" w:hAnsi="仿宋_GB2312" w:cs="仿宋_GB2312" w:eastAsia="仿宋_GB2312"/>
                <w:sz w:val="20"/>
              </w:rPr>
              <w:t>6.投标人不得期望通过索赔等方式获取补偿，否则，除可能遭到拒绝外，还可能将被作为不良行为记录在案，并可能影响其以后参加政府采购的项目投标。各投标人在报价时，应充分考虑报价的风险。</w:t>
            </w:r>
          </w:p>
          <w:p>
            <w:pPr>
              <w:pStyle w:val="null3"/>
            </w:pPr>
            <w:r>
              <w:rPr>
                <w:rFonts w:ascii="仿宋_GB2312" w:hAnsi="仿宋_GB2312" w:cs="仿宋_GB2312" w:eastAsia="仿宋_GB2312"/>
                <w:sz w:val="20"/>
              </w:rPr>
              <w:t>7.付款方式：按合同约定方式支付。</w:t>
            </w:r>
          </w:p>
          <w:p>
            <w:pPr>
              <w:pStyle w:val="null3"/>
            </w:pPr>
            <w:r>
              <w:rPr>
                <w:rFonts w:ascii="仿宋_GB2312" w:hAnsi="仿宋_GB2312" w:cs="仿宋_GB2312" w:eastAsia="仿宋_GB2312"/>
                <w:sz w:val="20"/>
                <w:b/>
              </w:rPr>
              <w:t>3.7服务范围：</w:t>
            </w:r>
            <w:r>
              <w:rPr>
                <w:rFonts w:ascii="仿宋_GB2312" w:hAnsi="仿宋_GB2312" w:cs="仿宋_GB2312" w:eastAsia="仿宋_GB2312"/>
                <w:sz w:val="20"/>
              </w:rPr>
              <w:t>招标文件中要求的所有服务范围。</w:t>
            </w:r>
          </w:p>
          <w:p>
            <w:pPr>
              <w:pStyle w:val="null3"/>
              <w:jc w:val="both"/>
            </w:pPr>
            <w:r>
              <w:rPr>
                <w:rFonts w:ascii="仿宋_GB2312" w:hAnsi="仿宋_GB2312" w:cs="仿宋_GB2312" w:eastAsia="仿宋_GB2312"/>
                <w:sz w:val="20"/>
                <w:b/>
              </w:rPr>
              <w:t>3.8服务标准：</w:t>
            </w:r>
            <w:r>
              <w:rPr>
                <w:rFonts w:ascii="仿宋_GB2312" w:hAnsi="仿宋_GB2312" w:cs="仿宋_GB2312" w:eastAsia="仿宋_GB2312"/>
                <w:sz w:val="20"/>
              </w:rPr>
              <w:t>符合国家及相关行业标准，满足采购人要求。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最终以签订合同及招标文件为准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最终以签订合同及招标文件为准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最终以签订合同及招标文件为准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2025年7月1日0点到2026年6月30日24点。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合同签订生效后成交供应商向采购人提供足额发票，采购人在收到发票后30日内一次性支付合同总价，成交供应商在收到采购人支付的合同总价后5个工作日内向采购人出具正式保险单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执行本合同中产生纠纷，由双方协商解决；协商不成，向甲方所在地的人民法院提起诉讼。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关于投保等待期： 上一年度已投保过人员不因中标保险公司的变化产生等待期，本年度新增投保人员可依照有关法律规定保留投保等待期； 备注： （1）关于后期服务：中标公司需要保障采购方的日常走访慰问活动； （2）关于招标服务费及项目自评的费用，含在总预算里面。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节点为投标文件递交截止之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投标人须提供具有行业监督管理部门颁发的保险许可证。投标人需在项目电子化交易系统中按要求上传相应证明文件并进行电子签章。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投标人不得参加同一合同项下的政府采购活动。投标人需在项目电子化交易系统中按要求上传相应证明文件并进行电子签章。②为本项目提供整体设计、规范编制或者项目管理、监理、检测等服务的投标人，不得再参加该采购项目的其他采购活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投标文件应包含招标文件要求的所有内容</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签章或盖章符合招标文件要求，且无遗漏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完全理解并接受法律法规和招标文件对投标单位合法经营的各类规约和责任义务要求，没有出现法律法规或招标文件规定的其他无效情形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2023年度综合偿付能力充足率</w:t>
            </w:r>
          </w:p>
        </w:tc>
        <w:tc>
          <w:tcPr>
            <w:tcW w:type="dxa" w:w="2492"/>
          </w:tcPr>
          <w:p>
            <w:pPr>
              <w:pStyle w:val="null3"/>
            </w:pPr>
            <w:r>
              <w:rPr>
                <w:rFonts w:ascii="仿宋_GB2312" w:hAnsi="仿宋_GB2312" w:cs="仿宋_GB2312" w:eastAsia="仿宋_GB2312"/>
              </w:rPr>
              <w:t>根据投标人总公司2023年度综合偿付能力充足率进行评审： ①综合偿付能力充足率大于200％（含），得5.0分； ②综合偿付能力充足率大于150％（含）且小于200％（不含），得3.0分； ③综合偿付能力充足率小于150％，得1.0分。 注：须提供投标人总公司经第三方审计的2023年度偿付能力报告，并标注出综合偿付能力充足率相关内容并加盖公章。未提供该证明材料不得分。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2024年度综合偿付能力充足率</w:t>
            </w:r>
          </w:p>
        </w:tc>
        <w:tc>
          <w:tcPr>
            <w:tcW w:type="dxa" w:w="2492"/>
          </w:tcPr>
          <w:p>
            <w:pPr>
              <w:pStyle w:val="null3"/>
            </w:pPr>
            <w:r>
              <w:rPr>
                <w:rFonts w:ascii="仿宋_GB2312" w:hAnsi="仿宋_GB2312" w:cs="仿宋_GB2312" w:eastAsia="仿宋_GB2312"/>
              </w:rPr>
              <w:t>根据投标人总公司2024年度综合偿付能力充足率进行评审： ①综合偿付能力充足率大于200％（含），得5.0分； ②综合偿付能力充足率大于150％（含）且小于200％（不含），得3.0分； ③综合偿付能力充足率小于150％，得1.0分。 注：须提供投标人总公司经第三方审计的2024年度偿付能力报告，并标注出综合偿付能力充足率相关内容并加盖公章。未提供该证明材料不得分。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季度综合偿付能力充足率</w:t>
            </w:r>
          </w:p>
        </w:tc>
        <w:tc>
          <w:tcPr>
            <w:tcW w:type="dxa" w:w="2492"/>
          </w:tcPr>
          <w:p>
            <w:pPr>
              <w:pStyle w:val="null3"/>
            </w:pPr>
            <w:r>
              <w:rPr>
                <w:rFonts w:ascii="仿宋_GB2312" w:hAnsi="仿宋_GB2312" w:cs="仿宋_GB2312" w:eastAsia="仿宋_GB2312"/>
              </w:rPr>
              <w:t>根据投标人总公司2025年第一季度、第二季度、第三季度综合偿付能力充足率进行评审： ①三个季度综合偿付能力充足率大于200％(含)，得5.0分； ②两个季度综合偿付能力充足率大于200％（含），得3.0分； ③一个季度综合偿付能力充足率大于200％（含），得2.0分； ④三个季度综合偿付能力充足率小于200％（不含），得1.0分。 注：须提供投标人总公司在中国保险行业协会官网披露的2025年第一季度、第二季度、第三季度偿付能力季度报告，并标注出综合偿付能力充足率相关内容并加盖公章。未提供该证明材料不得分。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机构设置</w:t>
            </w:r>
          </w:p>
        </w:tc>
        <w:tc>
          <w:tcPr>
            <w:tcW w:type="dxa" w:w="2492"/>
          </w:tcPr>
          <w:p>
            <w:pPr>
              <w:pStyle w:val="null3"/>
            </w:pPr>
            <w:r>
              <w:rPr>
                <w:rFonts w:ascii="仿宋_GB2312" w:hAnsi="仿宋_GB2312" w:cs="仿宋_GB2312" w:eastAsia="仿宋_GB2312"/>
              </w:rPr>
              <w:t>投标人在陕西省内设有自有分支机构的，每有一家得0.2分，最高得10.0分。 注：提供合法有效的营业执照及保险许可证，不提供或提供不全的不得分。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投标人所承保的类似项目业绩，需提供近三年（2022年12月1日起至今，以签订日期为准）证明材料。业绩证明材料以合同或保单为准，每提供一份得0.5分，最高5.0分。 注：提供合同或保单的关键页（包括投保人、被保人、保险金额、保险内容等），未提供不得分。同一项目不同年份按一个项目计算。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投标人项目业绩一览表.docx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承保服务</w:t>
            </w:r>
          </w:p>
        </w:tc>
        <w:tc>
          <w:tcPr>
            <w:tcW w:type="dxa" w:w="2492"/>
          </w:tcPr>
          <w:p>
            <w:pPr>
              <w:pStyle w:val="null3"/>
            </w:pPr>
            <w:r>
              <w:rPr>
                <w:rFonts w:ascii="仿宋_GB2312" w:hAnsi="仿宋_GB2312" w:cs="仿宋_GB2312" w:eastAsia="仿宋_GB2312"/>
              </w:rPr>
              <w:t>评审因素：投标人承诺的承保服务方案 评审依据：承保服务方案内容描述详细，切实可行符合项目实际内容得8.0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理赔服务</w:t>
            </w:r>
          </w:p>
        </w:tc>
        <w:tc>
          <w:tcPr>
            <w:tcW w:type="dxa" w:w="2492"/>
          </w:tcPr>
          <w:p>
            <w:pPr>
              <w:pStyle w:val="null3"/>
            </w:pPr>
            <w:r>
              <w:rPr>
                <w:rFonts w:ascii="仿宋_GB2312" w:hAnsi="仿宋_GB2312" w:cs="仿宋_GB2312" w:eastAsia="仿宋_GB2312"/>
              </w:rPr>
              <w:t>评审因素：投标人承诺的理赔服务方案 评审依据：理赔服务方案（包括线上、线下理赔方式）内容描述详细，切实可行符合项目实际内容得7.0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理赔时效</w:t>
            </w:r>
          </w:p>
        </w:tc>
        <w:tc>
          <w:tcPr>
            <w:tcW w:type="dxa" w:w="2492"/>
          </w:tcPr>
          <w:p>
            <w:pPr>
              <w:pStyle w:val="null3"/>
            </w:pPr>
            <w:r>
              <w:rPr>
                <w:rFonts w:ascii="仿宋_GB2312" w:hAnsi="仿宋_GB2312" w:cs="仿宋_GB2312" w:eastAsia="仿宋_GB2312"/>
              </w:rPr>
              <w:t>评审因素：理赔时效保证措施 评审依据：理赔时效保证措施内容描述详细，切实可行符合项目实际内容得5.0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评审因素：关于本项目的售后服务承诺 评审依据：售后服务承诺内容描述详细，切实可行符合项目实际内容得10.0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评审因素：保密措施 评审依据：保密措施内容描述详细，切实可行符合项目实际内容得2.0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评审因素：宣传方案 评审依据：宣传方案内容描述详细，切实可行符合项目实际内容得5.0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宣传活动</w:t>
            </w:r>
          </w:p>
        </w:tc>
        <w:tc>
          <w:tcPr>
            <w:tcW w:type="dxa" w:w="2492"/>
          </w:tcPr>
          <w:p>
            <w:pPr>
              <w:pStyle w:val="null3"/>
            </w:pPr>
            <w:r>
              <w:rPr>
                <w:rFonts w:ascii="仿宋_GB2312" w:hAnsi="仿宋_GB2312" w:cs="仿宋_GB2312" w:eastAsia="仿宋_GB2312"/>
              </w:rPr>
              <w:t>评审因素：宣传活动举办方案 评审依据：宣传活动举办方案内容描述详细，切实可行符合项目实际内容得5.0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评审因素：拟投入本项目的组成人员配备 评审依据：投标人针对本项目拟投人员配备齐全，配备有包括但不限于项目经理、承保服务人员、管理人员、理赔服务人员、投保服务人员等，配备人员少于5人不得分。根据投标人拟投入人员，人员配备切实可行符合项目实际内容得5.0分，内容里每有一项内容缺陷（缺陷是指：内容不详细具体、条理不清晰、描述过于简单、与项目特点不匹配、凭空编造、出现常识性错误、不可能实现的夸大情形、存在不适用项目实际情况的情形等）扣0.5分，扣完为止。 注：提供拟投入人员身份证、社保或劳动合同等相关证明材料。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评审因素：对紧急或突发情况的应急保障措施 评审依据：应急保障措施内容描述详细，切实可行符合项目实际内容得3.0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应急响应时间</w:t>
            </w:r>
          </w:p>
        </w:tc>
        <w:tc>
          <w:tcPr>
            <w:tcW w:type="dxa" w:w="2492"/>
          </w:tcPr>
          <w:p>
            <w:pPr>
              <w:pStyle w:val="null3"/>
            </w:pPr>
            <w:r>
              <w:rPr>
                <w:rFonts w:ascii="仿宋_GB2312" w:hAnsi="仿宋_GB2312" w:cs="仿宋_GB2312" w:eastAsia="仿宋_GB2312"/>
              </w:rPr>
              <w:t>评审因素：对紧急或突发情况的应急响应时间 评审依据：应急响应时间及时，切实可行符合项目实际内容得3.0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应急人员安排</w:t>
            </w:r>
          </w:p>
        </w:tc>
        <w:tc>
          <w:tcPr>
            <w:tcW w:type="dxa" w:w="2492"/>
          </w:tcPr>
          <w:p>
            <w:pPr>
              <w:pStyle w:val="null3"/>
            </w:pPr>
            <w:r>
              <w:rPr>
                <w:rFonts w:ascii="仿宋_GB2312" w:hAnsi="仿宋_GB2312" w:cs="仿宋_GB2312" w:eastAsia="仿宋_GB2312"/>
              </w:rPr>
              <w:t>评审因素：出现问题应急人员安排 评审依据：人员配备齐全，安排合理可行符合项目实际内容得3.0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重难点解决措施</w:t>
            </w:r>
          </w:p>
        </w:tc>
        <w:tc>
          <w:tcPr>
            <w:tcW w:type="dxa" w:w="2492"/>
          </w:tcPr>
          <w:p>
            <w:pPr>
              <w:pStyle w:val="null3"/>
            </w:pPr>
            <w:r>
              <w:rPr>
                <w:rFonts w:ascii="仿宋_GB2312" w:hAnsi="仿宋_GB2312" w:cs="仿宋_GB2312" w:eastAsia="仿宋_GB2312"/>
              </w:rPr>
              <w:t>评审因素：理赔过程中重难点解决措施 评审依据：重难点解决措施内容描述详细，切实可行符合项目实际内容得2.0分，内容里每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评审因素：投标人可提供的增值服务 评审依据：投标人可提供以下增值服务承诺： 1.参加采购人重大节日走访慰问活动； 2.为重点人员提供免费医疗咨询服务； 3.为重点人员提供陪诊服务； 4.支持采购人开展政策性宣传活动。 每提供一项承诺，得0.5分，最高得2.0分。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2.投标报价评分标准： 价格满足招标文件要求且投标报价最低的报价为投标基准价，其价格分为满分。 其他投标人的价格分统一按照下列公式计算： 投标报价计分=(投标基准价／投标报价)×10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详见附件：投标人项目业绩一览表.docx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