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版本号：XHZB-25-084.1B220251210001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城乡客货邮数字化运营服务系统及综合评价体系研究(三次)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XHZB-25-084.1B2</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城乡客货邮数字化运营服务系统及综合评价体系研究(三次)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XHZB-25-084.1B2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城乡客货邮数字化运营服务系统及综合评价体系研究(三次)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城乡客货邮数字化运营服务系统及综合评价体系研究，具体详见磋商文件。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5、书面声明1：提供具有履行本合同所必需的专业技术能力的书面声明</w:t>
      </w:r>
    </w:p>
    <w:p>
      <w:pPr>
        <w:pStyle w:val="null3"/>
      </w:pPr>
      <w:r>
        <w:rPr>
          <w:rFonts w:ascii="仿宋_GB2312" w:hAnsi="仿宋_GB2312" w:cs="仿宋_GB2312" w:eastAsia="仿宋_GB2312"/>
        </w:rPr>
        <w:t>6、书面声明2：参加本次政府采购活动前3年内在经营活动中没有重大违纪，以及未被列入失信被执行人、重大税收违法失信主体、政府采购严重违法失信行为记录名单的书面声明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9、供应商关联关系声明：①控股管理关系（不得与参加本项目的其他供应商单位负责人为同一人或者存在直接控股、管理关系），②未为本项目提供整体设计、规范编制或者 项目管理、监理、检测等服务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18629509770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15332301932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照招标代理服务费收费标准98.5%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联系电话：15332301932</w:t>
      </w:r>
    </w:p>
    <w:p>
      <w:pPr>
        <w:pStyle w:val="null3"/>
      </w:pPr>
      <w:r>
        <w:rPr>
          <w:rFonts w:ascii="仿宋_GB2312" w:hAnsi="仿宋_GB2312" w:cs="仿宋_GB2312" w:eastAsia="仿宋_GB2312"/>
        </w:rPr>
        <w:t>地址：西安曲江新区雁塔南路金辉环球中心C座514室。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城乡客货邮数字化运营服务系统及综合评价体系研究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城乡客货邮数字化运营服务系统及综合评价体系研究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标的名称：城乡客货邮数字化运营服务系统及综合评价体系研究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 项目概况与背景</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项目名称：城乡客货邮数字化运营服务系统及综合评价体系研究</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立项背景与必要性：近年来，我国农村交通基础设施持续完善，“四好农村路” 建设成效显著，同时农村居民出行需求趋向个性化、多元化，农村电商带动物流需求大幅增长。然而，城乡客货邮融合发展中面临信息透明度低、运营效率低下、资源配置不均衡、客户服务质量参差不齐、安全管理和应急响应不足、运营评价与决策支持不足等突出问题。为落实国家乡村振兴、交通强国、数字经济等战略，响应相关政策文件要求，亟需通过数字化手段构建运营服务系统及综合评价体系，破解行业发展瓶颈，推动城乡客货邮融合高质量发展。</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研究目标与考核指标：</w:t>
            </w:r>
          </w:p>
          <w:p>
            <w:pPr>
              <w:pStyle w:val="null3"/>
              <w:jc w:val="both"/>
            </w:pPr>
            <w:r>
              <w:rPr>
                <w:rFonts w:ascii="仿宋_GB2312" w:hAnsi="仿宋_GB2312" w:cs="仿宋_GB2312" w:eastAsia="仿宋_GB2312"/>
                <w:sz w:val="21"/>
              </w:rPr>
              <w:t xml:space="preserve">   · 总体目标：依托先进信息技术，构建物联感知、智能分析的城乡客货邮数字化运营服务系统，建立科学的综合评价体系，提升运营效率、安全水平和服务质量，形成数字化运营规范与标准体系，为行业主管部门决策提供支撑。</w:t>
            </w:r>
          </w:p>
          <w:p>
            <w:pPr>
              <w:pStyle w:val="null3"/>
              <w:jc w:val="both"/>
            </w:pPr>
            <w:r>
              <w:rPr>
                <w:rFonts w:ascii="仿宋_GB2312" w:hAnsi="仿宋_GB2312" w:cs="仿宋_GB2312" w:eastAsia="仿宋_GB2312"/>
                <w:sz w:val="21"/>
              </w:rPr>
              <w:t xml:space="preserve">   · 具体考核指标：</w:t>
            </w:r>
          </w:p>
          <w:p>
            <w:pPr>
              <w:pStyle w:val="null3"/>
              <w:jc w:val="both"/>
            </w:pPr>
            <w:r>
              <w:rPr>
                <w:rFonts w:ascii="仿宋_GB2312" w:hAnsi="仿宋_GB2312" w:cs="仿宋_GB2312" w:eastAsia="仿宋_GB2312"/>
                <w:sz w:val="21"/>
              </w:rPr>
              <w:t>建成城乡客货邮数字化运营服务系统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提交城乡客货邮数字化运营服务系统及综合评价体系研究报告</w:t>
            </w:r>
            <w:r>
              <w:rPr>
                <w:rFonts w:ascii="仿宋_GB2312" w:hAnsi="仿宋_GB2312" w:cs="仿宋_GB2312" w:eastAsia="仿宋_GB2312"/>
                <w:sz w:val="21"/>
              </w:rPr>
              <w:t>1</w:t>
            </w:r>
            <w:r>
              <w:rPr>
                <w:rFonts w:ascii="仿宋_GB2312" w:hAnsi="仿宋_GB2312" w:cs="仿宋_GB2312" w:eastAsia="仿宋_GB2312"/>
                <w:sz w:val="21"/>
              </w:rPr>
              <w:t>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在国内外核心期刊上发表论文 </w:t>
            </w:r>
            <w:r>
              <w:rPr>
                <w:rFonts w:ascii="仿宋_GB2312" w:hAnsi="仿宋_GB2312" w:cs="仿宋_GB2312" w:eastAsia="仿宋_GB2312"/>
                <w:sz w:val="21"/>
              </w:rPr>
              <w:t xml:space="preserve">2 </w:t>
            </w:r>
            <w:r>
              <w:rPr>
                <w:rFonts w:ascii="仿宋_GB2312" w:hAnsi="仿宋_GB2312" w:cs="仿宋_GB2312" w:eastAsia="仿宋_GB2312"/>
                <w:sz w:val="21"/>
              </w:rPr>
              <w:t>篇；</w:t>
            </w:r>
          </w:p>
          <w:p>
            <w:pPr>
              <w:pStyle w:val="null3"/>
              <w:jc w:val="both"/>
            </w:pPr>
            <w:r>
              <w:rPr>
                <w:rFonts w:ascii="仿宋_GB2312" w:hAnsi="仿宋_GB2312" w:cs="仿宋_GB2312" w:eastAsia="仿宋_GB2312"/>
                <w:sz w:val="21"/>
              </w:rPr>
              <w:t xml:space="preserve">申请软件著作权 </w:t>
            </w:r>
            <w:r>
              <w:rPr>
                <w:rFonts w:ascii="仿宋_GB2312" w:hAnsi="仿宋_GB2312" w:cs="仿宋_GB2312" w:eastAsia="仿宋_GB2312"/>
                <w:sz w:val="21"/>
              </w:rPr>
              <w:t xml:space="preserve">2 </w:t>
            </w:r>
            <w:r>
              <w:rPr>
                <w:rFonts w:ascii="仿宋_GB2312" w:hAnsi="仿宋_GB2312" w:cs="仿宋_GB2312" w:eastAsia="仿宋_GB2312"/>
                <w:sz w:val="21"/>
              </w:rPr>
              <w:t>项。</w:t>
            </w:r>
          </w:p>
          <w:p>
            <w:pPr>
              <w:pStyle w:val="null3"/>
              <w:jc w:val="both"/>
            </w:pPr>
            <w:r>
              <w:rPr>
                <w:rFonts w:ascii="仿宋_GB2312" w:hAnsi="仿宋_GB2312" w:cs="仿宋_GB2312" w:eastAsia="仿宋_GB2312"/>
                <w:sz w:val="21"/>
              </w:rPr>
              <w:t>二、 主要研究内容与技术要求</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研究范畴界定：围绕城乡客货邮数字化运营服务系统的需求分析、架构设计、关键算法研发、系统集成开发，以及综合评价体系构建、系统应用效果优化等开展研究，解决多源数据集成、智能调度、在途监控、科学评价等关键问题。</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关键技术攻关路线</w:t>
            </w:r>
          </w:p>
          <w:p>
            <w:pPr>
              <w:pStyle w:val="null3"/>
              <w:jc w:val="both"/>
            </w:pPr>
            <w:r>
              <w:rPr>
                <w:rFonts w:ascii="仿宋_GB2312" w:hAnsi="仿宋_GB2312" w:cs="仿宋_GB2312" w:eastAsia="仿宋_GB2312"/>
                <w:sz w:val="21"/>
              </w:rPr>
              <w:t>数据集成与交互关联技术：打破独立运输系统数据壁垒，实现车辆底层数据、在途监测数据、运营效益数据等多源数据的集成、融合与关联分析。</w:t>
            </w:r>
          </w:p>
          <w:p>
            <w:pPr>
              <w:pStyle w:val="null3"/>
              <w:jc w:val="both"/>
            </w:pPr>
            <w:r>
              <w:rPr>
                <w:rFonts w:ascii="仿宋_GB2312" w:hAnsi="仿宋_GB2312" w:cs="仿宋_GB2312" w:eastAsia="仿宋_GB2312"/>
                <w:sz w:val="21"/>
              </w:rPr>
              <w:t>车辆在途追踪与监控技术：基于物联网和北斗定位技术，实现运输车辆、货物、邮件的实时跟踪与监控，具备异常情况自动识别与风险处置功能。</w:t>
            </w:r>
          </w:p>
          <w:p>
            <w:pPr>
              <w:pStyle w:val="null3"/>
              <w:jc w:val="both"/>
            </w:pPr>
            <w:r>
              <w:rPr>
                <w:rFonts w:ascii="仿宋_GB2312" w:hAnsi="仿宋_GB2312" w:cs="仿宋_GB2312" w:eastAsia="仿宋_GB2312"/>
                <w:sz w:val="21"/>
              </w:rPr>
              <w:t>运营智能调度算法：结合城乡客货邮需求特点，研发多目标优化调度算法，适配常规及特殊时段需求，实现运输成本最小化、客户满意度和资源利用率最大化。</w:t>
            </w:r>
          </w:p>
          <w:p>
            <w:pPr>
              <w:pStyle w:val="null3"/>
              <w:jc w:val="both"/>
            </w:pPr>
            <w:r>
              <w:rPr>
                <w:rFonts w:ascii="仿宋_GB2312" w:hAnsi="仿宋_GB2312" w:cs="仿宋_GB2312" w:eastAsia="仿宋_GB2312"/>
                <w:sz w:val="21"/>
              </w:rPr>
              <w:t>数字化运营服务系统评价与监管算法：构建涵盖安全、运营效率、经济效益等维度的综合评价体系，研发政府监管算法，支撑高效监管与决策优化。</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技术指标与性能要求</w:t>
            </w:r>
          </w:p>
          <w:p>
            <w:pPr>
              <w:pStyle w:val="null3"/>
              <w:jc w:val="both"/>
            </w:pPr>
            <w:r>
              <w:rPr>
                <w:rFonts w:ascii="仿宋_GB2312" w:hAnsi="仿宋_GB2312" w:cs="仿宋_GB2312" w:eastAsia="仿宋_GB2312"/>
                <w:sz w:val="21"/>
              </w:rPr>
              <w:t>系统响应时间：常规查询请求响应时间≤</w:t>
            </w:r>
            <w:r>
              <w:rPr>
                <w:rFonts w:ascii="仿宋_GB2312" w:hAnsi="仿宋_GB2312" w:cs="仿宋_GB2312" w:eastAsia="仿宋_GB2312"/>
                <w:sz w:val="21"/>
              </w:rPr>
              <w:t xml:space="preserve">2 </w:t>
            </w:r>
            <w:r>
              <w:rPr>
                <w:rFonts w:ascii="仿宋_GB2312" w:hAnsi="仿宋_GB2312" w:cs="仿宋_GB2312" w:eastAsia="仿宋_GB2312"/>
                <w:sz w:val="21"/>
              </w:rPr>
              <w:t>秒，复杂调度计算响应时间≤</w:t>
            </w:r>
            <w:r>
              <w:rPr>
                <w:rFonts w:ascii="仿宋_GB2312" w:hAnsi="仿宋_GB2312" w:cs="仿宋_GB2312" w:eastAsia="仿宋_GB2312"/>
                <w:sz w:val="21"/>
              </w:rPr>
              <w:t xml:space="preserve">10 </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定位精度：车辆定位误差≤</w:t>
            </w:r>
            <w:r>
              <w:rPr>
                <w:rFonts w:ascii="仿宋_GB2312" w:hAnsi="仿宋_GB2312" w:cs="仿宋_GB2312" w:eastAsia="仿宋_GB2312"/>
                <w:sz w:val="21"/>
              </w:rPr>
              <w:t xml:space="preserve">10 </w:t>
            </w:r>
            <w:r>
              <w:rPr>
                <w:rFonts w:ascii="仿宋_GB2312" w:hAnsi="仿宋_GB2312" w:cs="仿宋_GB2312" w:eastAsia="仿宋_GB2312"/>
                <w:sz w:val="21"/>
              </w:rPr>
              <w:t>米，货物跟踪定位误差≤</w:t>
            </w:r>
            <w:r>
              <w:rPr>
                <w:rFonts w:ascii="仿宋_GB2312" w:hAnsi="仿宋_GB2312" w:cs="仿宋_GB2312" w:eastAsia="仿宋_GB2312"/>
                <w:sz w:val="21"/>
              </w:rPr>
              <w:t xml:space="preserve">5 </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数据准确率：多源数据关联匹配准确率≥</w:t>
            </w:r>
            <w:r>
              <w:rPr>
                <w:rFonts w:ascii="仿宋_GB2312" w:hAnsi="仿宋_GB2312" w:cs="仿宋_GB2312" w:eastAsia="仿宋_GB2312"/>
                <w:sz w:val="21"/>
              </w:rPr>
              <w:t>95%</w:t>
            </w:r>
            <w:r>
              <w:rPr>
                <w:rFonts w:ascii="仿宋_GB2312" w:hAnsi="仿宋_GB2312" w:cs="仿宋_GB2312" w:eastAsia="仿宋_GB2312"/>
                <w:sz w:val="21"/>
              </w:rPr>
              <w:t>，运营数据采集准确率≥</w:t>
            </w:r>
            <w:r>
              <w:rPr>
                <w:rFonts w:ascii="仿宋_GB2312" w:hAnsi="仿宋_GB2312" w:cs="仿宋_GB2312" w:eastAsia="仿宋_GB2312"/>
                <w:sz w:val="21"/>
              </w:rPr>
              <w:t>98%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调度优化效果：车辆空驶率降低≥</w:t>
            </w:r>
            <w:r>
              <w:rPr>
                <w:rFonts w:ascii="仿宋_GB2312" w:hAnsi="仿宋_GB2312" w:cs="仿宋_GB2312" w:eastAsia="仿宋_GB2312"/>
                <w:sz w:val="21"/>
              </w:rPr>
              <w:t>15%</w:t>
            </w:r>
            <w:r>
              <w:rPr>
                <w:rFonts w:ascii="仿宋_GB2312" w:hAnsi="仿宋_GB2312" w:cs="仿宋_GB2312" w:eastAsia="仿宋_GB2312"/>
                <w:sz w:val="21"/>
              </w:rPr>
              <w:t>，装载率提升≥</w:t>
            </w:r>
            <w:r>
              <w:rPr>
                <w:rFonts w:ascii="仿宋_GB2312" w:hAnsi="仿宋_GB2312" w:cs="仿宋_GB2312" w:eastAsia="仿宋_GB2312"/>
                <w:sz w:val="21"/>
              </w:rPr>
              <w:t>20%</w:t>
            </w:r>
            <w:r>
              <w:rPr>
                <w:rFonts w:ascii="仿宋_GB2312" w:hAnsi="仿宋_GB2312" w:cs="仿宋_GB2312" w:eastAsia="仿宋_GB2312"/>
                <w:sz w:val="21"/>
              </w:rPr>
              <w:t>，配送时效提升≥</w:t>
            </w:r>
            <w:r>
              <w:rPr>
                <w:rFonts w:ascii="仿宋_GB2312" w:hAnsi="仿宋_GB2312" w:cs="仿宋_GB2312" w:eastAsia="仿宋_GB2312"/>
                <w:sz w:val="21"/>
              </w:rPr>
              <w:t>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安全监测能力：可实时识别车辆异常状态、驾驶员疲劳驾驶、超速等违规行为，识别准确率≥</w:t>
            </w:r>
            <w:r>
              <w:rPr>
                <w:rFonts w:ascii="仿宋_GB2312" w:hAnsi="仿宋_GB2312" w:cs="仿宋_GB2312" w:eastAsia="仿宋_GB2312"/>
                <w:sz w:val="21"/>
              </w:rPr>
              <w:t>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系统稳定性：全年无故障运行时间占比≥</w:t>
            </w:r>
            <w:r>
              <w:rPr>
                <w:rFonts w:ascii="仿宋_GB2312" w:hAnsi="仿宋_GB2312" w:cs="仿宋_GB2312" w:eastAsia="仿宋_GB2312"/>
                <w:sz w:val="21"/>
              </w:rPr>
              <w:t>99.5%</w:t>
            </w:r>
            <w:r>
              <w:rPr>
                <w:rFonts w:ascii="仿宋_GB2312" w:hAnsi="仿宋_GB2312" w:cs="仿宋_GB2312" w:eastAsia="仿宋_GB2312"/>
                <w:sz w:val="21"/>
              </w:rPr>
              <w:t>，支持同时在线用户数≥</w:t>
            </w:r>
            <w:r>
              <w:rPr>
                <w:rFonts w:ascii="仿宋_GB2312" w:hAnsi="仿宋_GB2312" w:cs="仿宋_GB2312" w:eastAsia="仿宋_GB2312"/>
                <w:sz w:val="21"/>
              </w:rPr>
              <w:t xml:space="preserve">500 </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rPr>
              <w:t>评价体系科学性：评价指标覆盖安全、效率、效益等核心维度，评价结果与实际运营情况契合度≥</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 项目成果及交付物要求</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有形交付物</w:t>
            </w:r>
          </w:p>
          <w:p>
            <w:pPr>
              <w:pStyle w:val="null3"/>
              <w:jc w:val="both"/>
            </w:pPr>
            <w:r>
              <w:rPr>
                <w:rFonts w:ascii="仿宋_GB2312" w:hAnsi="仿宋_GB2312" w:cs="仿宋_GB2312" w:eastAsia="仿宋_GB2312"/>
                <w:sz w:val="21"/>
              </w:rPr>
              <w:t>研究报告：包括立项报告、中期报告、结题总报告、技术报告等；</w:t>
            </w:r>
          </w:p>
          <w:p>
            <w:pPr>
              <w:pStyle w:val="null3"/>
              <w:jc w:val="both"/>
            </w:pPr>
            <w:r>
              <w:rPr>
                <w:rFonts w:ascii="仿宋_GB2312" w:hAnsi="仿宋_GB2312" w:cs="仿宋_GB2312" w:eastAsia="仿宋_GB2312"/>
                <w:sz w:val="21"/>
              </w:rPr>
              <w:t xml:space="preserve">硬件 </w:t>
            </w:r>
            <w:r>
              <w:rPr>
                <w:rFonts w:ascii="仿宋_GB2312" w:hAnsi="仿宋_GB2312" w:cs="仿宋_GB2312" w:eastAsia="仿宋_GB2312"/>
                <w:sz w:val="21"/>
              </w:rPr>
              <w:t xml:space="preserve">/ </w:t>
            </w:r>
            <w:r>
              <w:rPr>
                <w:rFonts w:ascii="仿宋_GB2312" w:hAnsi="仿宋_GB2312" w:cs="仿宋_GB2312" w:eastAsia="仿宋_GB2312"/>
                <w:sz w:val="21"/>
              </w:rPr>
              <w:t>软件：物联感知终端设备（传感器、北斗定位设备等）、城乡客货邮数字化运营服务系统（含客运模块、快递邮政模块、综合协同模块、政府监管模块等）；</w:t>
            </w:r>
          </w:p>
          <w:p>
            <w:pPr>
              <w:pStyle w:val="null3"/>
              <w:jc w:val="both"/>
            </w:pPr>
            <w:r>
              <w:rPr>
                <w:rFonts w:ascii="仿宋_GB2312" w:hAnsi="仿宋_GB2312" w:cs="仿宋_GB2312" w:eastAsia="仿宋_GB2312"/>
                <w:sz w:val="21"/>
              </w:rPr>
              <w:t xml:space="preserve">数据 </w:t>
            </w:r>
            <w:r>
              <w:rPr>
                <w:rFonts w:ascii="仿宋_GB2312" w:hAnsi="仿宋_GB2312" w:cs="仿宋_GB2312" w:eastAsia="仿宋_GB2312"/>
                <w:sz w:val="21"/>
              </w:rPr>
              <w:t xml:space="preserve">/ </w:t>
            </w:r>
            <w:r>
              <w:rPr>
                <w:rFonts w:ascii="仿宋_GB2312" w:hAnsi="仿宋_GB2312" w:cs="仿宋_GB2312" w:eastAsia="仿宋_GB2312"/>
                <w:sz w:val="21"/>
              </w:rPr>
              <w:t>数据库：运营调度算法研发基础数据库、系统运行原始数据集、分析数据集、城乡客货邮运营评价参数集等；</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无形交付物</w:t>
            </w:r>
          </w:p>
          <w:p>
            <w:pPr>
              <w:pStyle w:val="null3"/>
              <w:jc w:val="both"/>
            </w:pPr>
            <w:r>
              <w:rPr>
                <w:rFonts w:ascii="仿宋_GB2312" w:hAnsi="仿宋_GB2312" w:cs="仿宋_GB2312" w:eastAsia="仿宋_GB2312"/>
                <w:sz w:val="21"/>
              </w:rPr>
              <w:t xml:space="preserve">知识产权：提交 </w:t>
            </w:r>
            <w:r>
              <w:rPr>
                <w:rFonts w:ascii="仿宋_GB2312" w:hAnsi="仿宋_GB2312" w:cs="仿宋_GB2312" w:eastAsia="仿宋_GB2312"/>
                <w:sz w:val="21"/>
              </w:rPr>
              <w:t xml:space="preserve">1-2 </w:t>
            </w:r>
            <w:r>
              <w:rPr>
                <w:rFonts w:ascii="仿宋_GB2312" w:hAnsi="仿宋_GB2312" w:cs="仿宋_GB2312" w:eastAsia="仿宋_GB2312"/>
                <w:sz w:val="21"/>
              </w:rPr>
              <w:t>项软件著作权的申请受理通知书及相关证明文件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论文著作：提交 </w:t>
            </w:r>
            <w:r>
              <w:rPr>
                <w:rFonts w:ascii="仿宋_GB2312" w:hAnsi="仿宋_GB2312" w:cs="仿宋_GB2312" w:eastAsia="仿宋_GB2312"/>
                <w:sz w:val="21"/>
              </w:rPr>
              <w:t xml:space="preserve">1-2 </w:t>
            </w:r>
            <w:r>
              <w:rPr>
                <w:rFonts w:ascii="仿宋_GB2312" w:hAnsi="仿宋_GB2312" w:cs="仿宋_GB2312" w:eastAsia="仿宋_GB2312"/>
                <w:sz w:val="21"/>
              </w:rPr>
              <w:t>篇发表于国内外核心期刊的论文，标注项目资助来源，并提供刊物封面、目录和论文首页；</w:t>
            </w:r>
          </w:p>
          <w:p>
            <w:pPr>
              <w:pStyle w:val="null3"/>
              <w:jc w:val="both"/>
            </w:pPr>
            <w:r>
              <w:rPr>
                <w:rFonts w:ascii="仿宋_GB2312" w:hAnsi="仿宋_GB2312" w:cs="仿宋_GB2312" w:eastAsia="仿宋_GB2312"/>
                <w:sz w:val="21"/>
              </w:rPr>
              <w:t>四、 项目实施与管理要求</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项目周期</w:t>
            </w:r>
          </w:p>
          <w:p>
            <w:pPr>
              <w:pStyle w:val="null3"/>
              <w:jc w:val="both"/>
            </w:pP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 xml:space="preserve">12 </w:t>
            </w:r>
            <w:r>
              <w:rPr>
                <w:rFonts w:ascii="仿宋_GB2312" w:hAnsi="仿宋_GB2312" w:cs="仿宋_GB2312" w:eastAsia="仿宋_GB2312"/>
                <w:sz w:val="21"/>
              </w:rPr>
              <w:t>月至</w:t>
            </w:r>
            <w:r>
              <w:rPr>
                <w:rFonts w:ascii="仿宋_GB2312" w:hAnsi="仿宋_GB2312" w:cs="仿宋_GB2312" w:eastAsia="仿宋_GB2312"/>
                <w:sz w:val="21"/>
              </w:rPr>
              <w:t>202</w:t>
            </w:r>
            <w:r>
              <w:rPr>
                <w:rFonts w:ascii="仿宋_GB2312" w:hAnsi="仿宋_GB2312" w:cs="仿宋_GB2312" w:eastAsia="仿宋_GB2312"/>
                <w:sz w:val="21"/>
              </w:rPr>
              <w:t>7</w:t>
            </w:r>
            <w:r>
              <w:rPr>
                <w:rFonts w:ascii="仿宋_GB2312" w:hAnsi="仿宋_GB2312" w:cs="仿宋_GB2312" w:eastAsia="仿宋_GB2312"/>
                <w:sz w:val="21"/>
              </w:rPr>
              <w:t>年</w:t>
            </w:r>
            <w:r>
              <w:rPr>
                <w:rFonts w:ascii="仿宋_GB2312" w:hAnsi="仿宋_GB2312" w:cs="仿宋_GB2312" w:eastAsia="仿宋_GB2312"/>
                <w:sz w:val="21"/>
              </w:rPr>
              <w:t xml:space="preserve">12 </w:t>
            </w:r>
            <w:r>
              <w:rPr>
                <w:rFonts w:ascii="仿宋_GB2312" w:hAnsi="仿宋_GB2312" w:cs="仿宋_GB2312" w:eastAsia="仿宋_GB2312"/>
                <w:sz w:val="21"/>
              </w:rPr>
              <w:t>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资源与条件保障</w:t>
            </w:r>
          </w:p>
          <w:p>
            <w:pPr>
              <w:pStyle w:val="null3"/>
              <w:jc w:val="both"/>
            </w:pPr>
            <w:r>
              <w:rPr>
                <w:rFonts w:ascii="仿宋_GB2312" w:hAnsi="仿宋_GB2312" w:cs="仿宋_GB2312" w:eastAsia="仿宋_GB2312"/>
                <w:sz w:val="21"/>
              </w:rPr>
              <w:t>具备智能交通系统、物联网、大数据分析等相关领域的研发及测试环境；</w:t>
            </w:r>
          </w:p>
          <w:p>
            <w:pPr>
              <w:pStyle w:val="null3"/>
              <w:jc w:val="both"/>
            </w:pPr>
            <w:r>
              <w:rPr>
                <w:rFonts w:ascii="仿宋_GB2312" w:hAnsi="仿宋_GB2312" w:cs="仿宋_GB2312" w:eastAsia="仿宋_GB2312"/>
                <w:sz w:val="21"/>
              </w:rPr>
              <w:t>拥有完善的硬件设备供应链及技术支持能力，确保感知终端设备的质量与兼容性；</w:t>
            </w:r>
          </w:p>
          <w:p>
            <w:pPr>
              <w:pStyle w:val="null3"/>
              <w:jc w:val="both"/>
            </w:pPr>
            <w:r>
              <w:rPr>
                <w:rFonts w:ascii="仿宋_GB2312" w:hAnsi="仿宋_GB2312" w:cs="仿宋_GB2312" w:eastAsia="仿宋_GB2312"/>
                <w:sz w:val="21"/>
              </w:rPr>
              <w:t>具备云端计算平台资源，支持系统大规模数据存储、处理及并发访问；</w:t>
            </w:r>
          </w:p>
          <w:p>
            <w:pPr>
              <w:pStyle w:val="null3"/>
              <w:jc w:val="both"/>
            </w:pPr>
            <w:r>
              <w:rPr>
                <w:rFonts w:ascii="仿宋_GB2312" w:hAnsi="仿宋_GB2312" w:cs="仿宋_GB2312" w:eastAsia="仿宋_GB2312"/>
                <w:sz w:val="21"/>
              </w:rPr>
              <w:t>拥有类似项目实施经验，能提供相关案例证明及技术成果验证材料。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项目管理机制</w:t>
            </w:r>
          </w:p>
          <w:p>
            <w:pPr>
              <w:pStyle w:val="null3"/>
              <w:jc w:val="both"/>
            </w:pPr>
            <w:r>
              <w:rPr>
                <w:rFonts w:ascii="仿宋_GB2312" w:hAnsi="仿宋_GB2312" w:cs="仿宋_GB2312" w:eastAsia="仿宋_GB2312"/>
                <w:sz w:val="21"/>
              </w:rPr>
              <w:t>建立定期沟通机制：每月</w:t>
            </w:r>
            <w:r>
              <w:rPr>
                <w:rFonts w:ascii="仿宋_GB2312" w:hAnsi="仿宋_GB2312" w:cs="仿宋_GB2312" w:eastAsia="仿宋_GB2312"/>
                <w:sz w:val="21"/>
              </w:rPr>
              <w:t>跟进</w:t>
            </w:r>
            <w:r>
              <w:rPr>
                <w:rFonts w:ascii="仿宋_GB2312" w:hAnsi="仿宋_GB2312" w:cs="仿宋_GB2312" w:eastAsia="仿宋_GB2312"/>
                <w:sz w:val="21"/>
              </w:rPr>
              <w:t>项目进度，每季度召开项目推进会，及时反馈项目进展及问题；</w:t>
            </w:r>
          </w:p>
          <w:p>
            <w:pPr>
              <w:pStyle w:val="null3"/>
              <w:jc w:val="both"/>
            </w:pPr>
            <w:r>
              <w:rPr>
                <w:rFonts w:ascii="仿宋_GB2312" w:hAnsi="仿宋_GB2312" w:cs="仿宋_GB2312" w:eastAsia="仿宋_GB2312"/>
                <w:sz w:val="21"/>
              </w:rPr>
              <w:t>质量管控机制：严格按照技术要求及进度计划推进，关键阶段需提交阶段性成果供甲方审核，审核通过后方可进入下一阶段；</w:t>
            </w:r>
          </w:p>
          <w:p>
            <w:pPr>
              <w:pStyle w:val="null3"/>
              <w:jc w:val="both"/>
            </w:pPr>
            <w:r>
              <w:rPr>
                <w:rFonts w:ascii="仿宋_GB2312" w:hAnsi="仿宋_GB2312" w:cs="仿宋_GB2312" w:eastAsia="仿宋_GB2312"/>
                <w:sz w:val="21"/>
              </w:rPr>
              <w:t xml:space="preserve">售后服务机制：项目验收后提供至少 </w:t>
            </w:r>
            <w:r>
              <w:rPr>
                <w:rFonts w:ascii="仿宋_GB2312" w:hAnsi="仿宋_GB2312" w:cs="仿宋_GB2312" w:eastAsia="仿宋_GB2312"/>
                <w:sz w:val="21"/>
              </w:rPr>
              <w:t xml:space="preserve">1 </w:t>
            </w:r>
            <w:r>
              <w:rPr>
                <w:rFonts w:ascii="仿宋_GB2312" w:hAnsi="仿宋_GB2312" w:cs="仿宋_GB2312" w:eastAsia="仿宋_GB2312"/>
                <w:sz w:val="21"/>
              </w:rPr>
              <w:t>年的免费技术支持及系统维护服务，包括故障排查、系统升级、操作培训等；</w:t>
            </w:r>
          </w:p>
          <w:p>
            <w:pPr>
              <w:pStyle w:val="null3"/>
              <w:jc w:val="both"/>
            </w:pPr>
            <w:r>
              <w:rPr>
                <w:rFonts w:ascii="仿宋_GB2312" w:hAnsi="仿宋_GB2312" w:cs="仿宋_GB2312" w:eastAsia="仿宋_GB2312"/>
                <w:sz w:val="21"/>
              </w:rPr>
              <w:t>保密机制：与甲方签订保密协议，对项目相关数据、技术方案、源代码等核心信息严格保密，未经甲方允许不得向第三方披露。供应商信息确认：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2025年12月至2027年12 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按照《陕西省交通运输厅科研项目管理办法》要求组织验收且符合相关规范要求。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合同签订生效，甲方在收到乙方履约保证金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供应商资格证明</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法定代表人及授权委托书.docx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其他.docx 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响应函 其他.docx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商务和服务响应说明.docx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响应文件封面 商务和服务响应说明.docx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分项报价表.docx 商务和服务响应说明.docx 法定代表人及授权委托书.docx 项目服务方案.docx 其他.docx 类似项目汇总表.docx 资格证明资料.docx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项目成果质量保障</w:t>
            </w:r>
          </w:p>
        </w:tc>
        <w:tc>
          <w:tcPr>
            <w:tcW w:type="dxa" w:w="2492"/>
          </w:tcPr>
          <w:p>
            <w:pPr>
              <w:pStyle w:val="null3"/>
            </w:pPr>
            <w:r>
              <w:rPr>
                <w:rFonts w:ascii="仿宋_GB2312" w:hAnsi="仿宋_GB2312" w:cs="仿宋_GB2312" w:eastAsia="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供应商依据响应文件提供近三年（2022年1月至今）内的同类服务业绩（以合同复印件为准），每提供一份有效业绩得3分，本项最高得15分。提供相关证明文件复印件加盖公章。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类似项目汇总表.docx</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详见附件：类似项目汇总表.docx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详见附件：商务和服务响应说明.docx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