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版本号：ZX2025-10-34(二次)20251210001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频谱分析仪、无掩膜纳米光刻机等采购项目(二次)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ZX2025-10-34(二次)</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频谱分析仪、无掩膜纳米光刻机等采购项目(二次)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ZX2025-10-34(二次)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频谱分析仪、无掩膜纳米光刻机等采购项目(二次)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本项目为频谱分析仪、无掩膜纳米光刻机采购项目。具体内容详见招标文件第3章。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张浥清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采购包1保证金金额：10,103.40元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说明：签订合同前，中标人应向采购人缴纳成交金额5%的履约保证金。项目验收合格后，无异议，中标人提交申请，使用部门签字确认后一次性无息退还。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代理服务费收费标准：参照国家计委计价格[2002]1980号文件收费标准下浮35%收取，由中标人支付代理服务费。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联系人：王宇轩、孙童欣</w:t>
      </w:r>
    </w:p>
    <w:p>
      <w:pPr>
        <w:pStyle w:val="null3"/>
      </w:pPr>
      <w:r>
        <w:rPr>
          <w:rFonts w:ascii="仿宋_GB2312" w:hAnsi="仿宋_GB2312" w:cs="仿宋_GB2312" w:eastAsia="仿宋_GB2312"/>
        </w:rPr>
        <w:t>联系电话：029-88110800转8033（1731831774@qq.com）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本项目为频谱分析仪、无掩膜纳米光刻机采购项目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频谱分析仪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标的名称：频谱分析仪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频谱分析仪</w:t>
                  </w:r>
                </w:p>
              </w:tc>
              <w:tc>
                <w:tcPr>
                  <w:tcW w:type="dxa" w:w="638"/>
                </w:tcPr>
                <w:p>
                  <w:pPr>
                    <w:pStyle w:val="null3"/>
                  </w:pPr>
                  <w:r>
                    <w:rPr>
                      <w:rFonts w:ascii="仿宋_GB2312" w:hAnsi="仿宋_GB2312" w:cs="仿宋_GB2312" w:eastAsia="仿宋_GB2312"/>
                    </w:rPr>
                    <w:t>1台</w:t>
                  </w:r>
                </w:p>
              </w:tc>
              <w:tc>
                <w:tcPr>
                  <w:tcW w:type="dxa" w:w="638"/>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设备用途：该设备主要用于接收光电传感器输出的电磁信号，并对该信号的频域特性进行分析。</w:t>
            </w:r>
          </w:p>
          <w:p>
            <w:pPr>
              <w:pStyle w:val="null3"/>
            </w:pPr>
            <w:r>
              <w:rPr>
                <w:rFonts w:ascii="仿宋_GB2312" w:hAnsi="仿宋_GB2312" w:cs="仿宋_GB2312" w:eastAsia="仿宋_GB2312"/>
              </w:rPr>
              <w:t>1.技术要求</w:t>
            </w:r>
          </w:p>
          <w:p>
            <w:pPr>
              <w:pStyle w:val="null3"/>
            </w:pPr>
            <w:r>
              <w:rPr>
                <w:rFonts w:ascii="仿宋_GB2312" w:hAnsi="仿宋_GB2312" w:cs="仿宋_GB2312" w:eastAsia="仿宋_GB2312"/>
              </w:rPr>
              <w:t>★1.1频率范围：不小于5kHz～26.5GHz；</w:t>
            </w:r>
          </w:p>
          <w:p>
            <w:pPr>
              <w:pStyle w:val="null3"/>
            </w:pPr>
            <w:r>
              <w:rPr>
                <w:rFonts w:ascii="仿宋_GB2312" w:hAnsi="仿宋_GB2312" w:cs="仿宋_GB2312" w:eastAsia="仿宋_GB2312"/>
              </w:rPr>
              <w:t>1.2频率分辨率：≤0.01Hz；</w:t>
            </w:r>
          </w:p>
          <w:p>
            <w:pPr>
              <w:pStyle w:val="null3"/>
            </w:pPr>
            <w:r>
              <w:rPr>
                <w:rFonts w:ascii="仿宋_GB2312" w:hAnsi="仿宋_GB2312" w:cs="仿宋_GB2312" w:eastAsia="仿宋_GB2312"/>
              </w:rPr>
              <w:t>1.3频率精度：≤1×10–7</w:t>
            </w:r>
          </w:p>
          <w:p>
            <w:pPr>
              <w:pStyle w:val="null3"/>
            </w:pPr>
            <w:r>
              <w:rPr>
                <w:rFonts w:ascii="仿宋_GB2312" w:hAnsi="仿宋_GB2312" w:cs="仿宋_GB2312" w:eastAsia="仿宋_GB2312"/>
              </w:rPr>
              <w:t>1.4单边带相噪SSB(1 GHz中心频率)：</w:t>
            </w:r>
          </w:p>
          <w:p>
            <w:pPr>
              <w:pStyle w:val="null3"/>
            </w:pPr>
            <w:r>
              <w:rPr>
                <w:rFonts w:ascii="仿宋_GB2312" w:hAnsi="仿宋_GB2312" w:cs="仿宋_GB2312" w:eastAsia="仿宋_GB2312"/>
              </w:rPr>
              <w:t>1.4.1、 1 kHz偏移，≤-99 dBc/Hz，</w:t>
            </w:r>
          </w:p>
          <w:p>
            <w:pPr>
              <w:pStyle w:val="null3"/>
            </w:pPr>
            <w:r>
              <w:rPr>
                <w:rFonts w:ascii="仿宋_GB2312" w:hAnsi="仿宋_GB2312" w:cs="仿宋_GB2312" w:eastAsia="仿宋_GB2312"/>
              </w:rPr>
              <w:t>1.4.2、 10 kHz偏移，≤-105 dBc/Hz，</w:t>
            </w:r>
          </w:p>
          <w:p>
            <w:pPr>
              <w:pStyle w:val="null3"/>
            </w:pPr>
            <w:r>
              <w:rPr>
                <w:rFonts w:ascii="仿宋_GB2312" w:hAnsi="仿宋_GB2312" w:cs="仿宋_GB2312" w:eastAsia="仿宋_GB2312"/>
              </w:rPr>
              <w:t>1.4.3、 100 kHz偏移，≤-110 dBc/Hz，</w:t>
            </w:r>
          </w:p>
          <w:p>
            <w:pPr>
              <w:pStyle w:val="null3"/>
            </w:pPr>
            <w:r>
              <w:rPr>
                <w:rFonts w:ascii="仿宋_GB2312" w:hAnsi="仿宋_GB2312" w:cs="仿宋_GB2312" w:eastAsia="仿宋_GB2312"/>
              </w:rPr>
              <w:t>1.4.4、 1 MHz偏移，≤-130 dBc/Hz；</w:t>
            </w:r>
          </w:p>
          <w:p>
            <w:pPr>
              <w:pStyle w:val="null3"/>
            </w:pPr>
            <w:r>
              <w:rPr>
                <w:rFonts w:ascii="仿宋_GB2312" w:hAnsi="仿宋_GB2312" w:cs="仿宋_GB2312" w:eastAsia="仿宋_GB2312"/>
              </w:rPr>
              <w:t>▲1.5 1dB压缩点：≥+7 dBm</w:t>
            </w:r>
          </w:p>
          <w:p>
            <w:pPr>
              <w:pStyle w:val="null3"/>
            </w:pPr>
            <w:r>
              <w:rPr>
                <w:rFonts w:ascii="仿宋_GB2312" w:hAnsi="仿宋_GB2312" w:cs="仿宋_GB2312" w:eastAsia="仿宋_GB2312"/>
              </w:rPr>
              <w:t>▲1.6 三阶互调截止点 (1 GHz中心频率)：≥+17 dBm(指标值)，+20dBm(典型值)</w:t>
            </w:r>
          </w:p>
          <w:p>
            <w:pPr>
              <w:pStyle w:val="null3"/>
            </w:pPr>
            <w:r>
              <w:rPr>
                <w:rFonts w:ascii="仿宋_GB2312" w:hAnsi="仿宋_GB2312" w:cs="仿宋_GB2312" w:eastAsia="仿宋_GB2312"/>
              </w:rPr>
              <w:t>1.7 显示平均噪声电平：</w:t>
            </w:r>
          </w:p>
          <w:p>
            <w:pPr>
              <w:pStyle w:val="null3"/>
            </w:pPr>
            <w:r>
              <w:rPr>
                <w:rFonts w:ascii="仿宋_GB2312" w:hAnsi="仿宋_GB2312" w:cs="仿宋_GB2312" w:eastAsia="仿宋_GB2312"/>
              </w:rPr>
              <w:t>1.7.1、 10MHz≤f＜2GHz：≤ -160 dBm/Hz(指标值)， -163 dBm/Hz(典型值)</w:t>
            </w:r>
          </w:p>
          <w:p>
            <w:pPr>
              <w:pStyle w:val="null3"/>
            </w:pPr>
            <w:r>
              <w:rPr>
                <w:rFonts w:ascii="仿宋_GB2312" w:hAnsi="仿宋_GB2312" w:cs="仿宋_GB2312" w:eastAsia="仿宋_GB2312"/>
              </w:rPr>
              <w:t>1.7.2、 2GHz≤f＜6GHz：≤ -158 dBm/Hz(指标值)， -161 dBm/Hz(典型值)</w:t>
            </w:r>
          </w:p>
          <w:p>
            <w:pPr>
              <w:pStyle w:val="null3"/>
            </w:pPr>
            <w:r>
              <w:rPr>
                <w:rFonts w:ascii="仿宋_GB2312" w:hAnsi="仿宋_GB2312" w:cs="仿宋_GB2312" w:eastAsia="仿宋_GB2312"/>
              </w:rPr>
              <w:t>1.7.3、6GHz≤f≤14GHz：≤ -158 dBm/Hz(指标值)， -163 dBm/Hz(典型值)</w:t>
            </w:r>
          </w:p>
          <w:p>
            <w:pPr>
              <w:pStyle w:val="null3"/>
            </w:pPr>
            <w:r>
              <w:rPr>
                <w:rFonts w:ascii="仿宋_GB2312" w:hAnsi="仿宋_GB2312" w:cs="仿宋_GB2312" w:eastAsia="仿宋_GB2312"/>
              </w:rPr>
              <w:t>1.7.4、14GHz＜f＜18GHz：≤ -158 dBm/Hz(指标值)， -161 dBm/Hz(典型值)</w:t>
            </w:r>
          </w:p>
          <w:p>
            <w:pPr>
              <w:pStyle w:val="null3"/>
            </w:pPr>
            <w:r>
              <w:rPr>
                <w:rFonts w:ascii="仿宋_GB2312" w:hAnsi="仿宋_GB2312" w:cs="仿宋_GB2312" w:eastAsia="仿宋_GB2312"/>
              </w:rPr>
              <w:t>1.7.5、18GHz≤f≤26.5GHz：≤ -156 dBm/Hz(指标值)， -158 dBm/Hz(典型值)</w:t>
            </w:r>
          </w:p>
          <w:p>
            <w:pPr>
              <w:pStyle w:val="null3"/>
            </w:pPr>
            <w:r>
              <w:rPr>
                <w:rFonts w:ascii="仿宋_GB2312" w:hAnsi="仿宋_GB2312" w:cs="仿宋_GB2312" w:eastAsia="仿宋_GB2312"/>
              </w:rPr>
              <w:t>1.8 分辨率带宽(RBW)设置范围：1 Hz至10 MHz， 1/2/3/5 可调步进；</w:t>
            </w:r>
          </w:p>
          <w:p>
            <w:pPr>
              <w:pStyle w:val="null3"/>
            </w:pPr>
            <w:r>
              <w:rPr>
                <w:rFonts w:ascii="仿宋_GB2312" w:hAnsi="仿宋_GB2312" w:cs="仿宋_GB2312" w:eastAsia="仿宋_GB2312"/>
              </w:rPr>
              <w:t>★1.9内置衰减器：0 dB 至 45 dB，1 dB 步进；</w:t>
            </w:r>
          </w:p>
          <w:p>
            <w:pPr>
              <w:pStyle w:val="null3"/>
            </w:pPr>
            <w:r>
              <w:rPr>
                <w:rFonts w:ascii="仿宋_GB2312" w:hAnsi="仿宋_GB2312" w:cs="仿宋_GB2312" w:eastAsia="仿宋_GB2312"/>
              </w:rPr>
              <w:t>1.10频率轴最大扫描点数：不低于100000；</w:t>
            </w:r>
          </w:p>
          <w:p>
            <w:pPr>
              <w:pStyle w:val="null3"/>
            </w:pPr>
            <w:r>
              <w:rPr>
                <w:rFonts w:ascii="仿宋_GB2312" w:hAnsi="仿宋_GB2312" w:cs="仿宋_GB2312" w:eastAsia="仿宋_GB2312"/>
              </w:rPr>
              <w:t>1.11具备模拟调制解调功能：AM，FM，PM；</w:t>
            </w:r>
          </w:p>
          <w:p>
            <w:pPr>
              <w:pStyle w:val="null3"/>
            </w:pPr>
            <w:r>
              <w:rPr>
                <w:rFonts w:ascii="仿宋_GB2312" w:hAnsi="仿宋_GB2312" w:cs="仿宋_GB2312" w:eastAsia="仿宋_GB2312"/>
              </w:rPr>
              <w:t>★1.12具备多种通用数字制式信号解调功能：ASK，QPSK，FSK，QAM等，最大支持4096QAM；</w:t>
            </w:r>
          </w:p>
          <w:p>
            <w:pPr>
              <w:pStyle w:val="null3"/>
            </w:pPr>
            <w:r>
              <w:rPr>
                <w:rFonts w:ascii="仿宋_GB2312" w:hAnsi="仿宋_GB2312" w:cs="仿宋_GB2312" w:eastAsia="仿宋_GB2312"/>
              </w:rPr>
              <w:t>1.13具备EMI测试功能,内置符合CISPR标准的6dB检波器；</w:t>
            </w:r>
          </w:p>
          <w:p>
            <w:pPr>
              <w:pStyle w:val="null3"/>
            </w:pPr>
            <w:r>
              <w:rPr>
                <w:rFonts w:ascii="仿宋_GB2312" w:hAnsi="仿宋_GB2312" w:cs="仿宋_GB2312" w:eastAsia="仿宋_GB2312"/>
              </w:rPr>
              <w:t>1.14测试端口最大输入功率：30dBm；</w:t>
            </w:r>
          </w:p>
          <w:p>
            <w:pPr>
              <w:pStyle w:val="null3"/>
            </w:pPr>
            <w:r>
              <w:rPr>
                <w:rFonts w:ascii="仿宋_GB2312" w:hAnsi="仿宋_GB2312" w:cs="仿宋_GB2312" w:eastAsia="仿宋_GB2312"/>
              </w:rPr>
              <w:t>1.15具备矢量信号分析功能；</w:t>
            </w:r>
          </w:p>
          <w:p>
            <w:pPr>
              <w:pStyle w:val="null3"/>
            </w:pPr>
            <w:r>
              <w:rPr>
                <w:rFonts w:ascii="仿宋_GB2312" w:hAnsi="仿宋_GB2312" w:cs="仿宋_GB2312" w:eastAsia="仿宋_GB2312"/>
              </w:rPr>
              <w:t>★1.16支持电池内置供电，使用时间不小于2小时；</w:t>
            </w:r>
          </w:p>
          <w:p>
            <w:pPr>
              <w:pStyle w:val="null3"/>
            </w:pPr>
            <w:r>
              <w:rPr>
                <w:rFonts w:ascii="仿宋_GB2312" w:hAnsi="仿宋_GB2312" w:cs="仿宋_GB2312" w:eastAsia="仿宋_GB2312"/>
              </w:rPr>
              <w:t>1.17 具备数据存储功能，存储内存≥512GB；界面具备触屏操作功能。</w:t>
            </w:r>
          </w:p>
          <w:p>
            <w:pPr>
              <w:pStyle w:val="null3"/>
            </w:pPr>
            <w:r>
              <w:rPr>
                <w:rFonts w:ascii="仿宋_GB2312" w:hAnsi="仿宋_GB2312" w:cs="仿宋_GB2312" w:eastAsia="仿宋_GB2312"/>
              </w:rPr>
              <w:t>▲1.18 配备EMI近场探头套件，频率范围5kHz～3GHz，探头数量不少于三根；</w:t>
            </w:r>
          </w:p>
          <w:p>
            <w:pPr>
              <w:pStyle w:val="null3"/>
            </w:pPr>
            <w:r>
              <w:rPr>
                <w:rFonts w:ascii="仿宋_GB2312" w:hAnsi="仿宋_GB2312" w:cs="仿宋_GB2312" w:eastAsia="仿宋_GB2312"/>
              </w:rPr>
              <w:t>1.19. 射频教育套件</w:t>
            </w:r>
          </w:p>
          <w:p>
            <w:pPr>
              <w:pStyle w:val="null3"/>
            </w:pPr>
            <w:r>
              <w:rPr>
                <w:rFonts w:ascii="仿宋_GB2312" w:hAnsi="仿宋_GB2312" w:cs="仿宋_GB2312" w:eastAsia="仿宋_GB2312"/>
              </w:rPr>
              <w:t>1.19.1有上变频发射链路，含混频器、滤波器、衰减器、放大器</w:t>
            </w:r>
          </w:p>
          <w:p>
            <w:pPr>
              <w:pStyle w:val="null3"/>
            </w:pPr>
            <w:r>
              <w:rPr>
                <w:rFonts w:ascii="仿宋_GB2312" w:hAnsi="仿宋_GB2312" w:cs="仿宋_GB2312" w:eastAsia="仿宋_GB2312"/>
              </w:rPr>
              <w:t>1.19.2具有下变频接收链路，含衰减器、低噪声放大器、滤波器、混频器</w:t>
            </w:r>
          </w:p>
          <w:p>
            <w:pPr>
              <w:pStyle w:val="null3"/>
            </w:pPr>
            <w:r>
              <w:rPr>
                <w:rFonts w:ascii="仿宋_GB2312" w:hAnsi="仿宋_GB2312" w:cs="仿宋_GB2312" w:eastAsia="仿宋_GB2312"/>
              </w:rPr>
              <w:t>1.19.3衰减器范围：0dB至31.5dB，0.5dB步进</w:t>
            </w:r>
          </w:p>
          <w:p>
            <w:pPr>
              <w:pStyle w:val="null3"/>
            </w:pPr>
            <w:r>
              <w:rPr>
                <w:rFonts w:ascii="仿宋_GB2312" w:hAnsi="仿宋_GB2312" w:cs="仿宋_GB2312" w:eastAsia="仿宋_GB2312"/>
              </w:rPr>
              <w:t>1.19.4上下变频放大器增益：≥19dB（标称）</w:t>
            </w:r>
          </w:p>
          <w:p>
            <w:pPr>
              <w:pStyle w:val="null3"/>
            </w:pPr>
            <w:r>
              <w:rPr>
                <w:rFonts w:ascii="仿宋_GB2312" w:hAnsi="仿宋_GB2312" w:cs="仿宋_GB2312" w:eastAsia="仿宋_GB2312"/>
              </w:rPr>
              <w:t>1.19.5带通滤波器中心频率：836.5MHz</w:t>
            </w:r>
          </w:p>
          <w:p>
            <w:pPr>
              <w:pStyle w:val="null3"/>
            </w:pPr>
            <w:r>
              <w:rPr>
                <w:rFonts w:ascii="仿宋_GB2312" w:hAnsi="仿宋_GB2312" w:cs="仿宋_GB2312" w:eastAsia="仿宋_GB2312"/>
              </w:rPr>
              <w:t>1.19.6带通滤波器带宽：≤20MHz（标称）</w:t>
            </w:r>
          </w:p>
          <w:p>
            <w:pPr>
              <w:pStyle w:val="null3"/>
            </w:pPr>
            <w:r>
              <w:rPr>
                <w:rFonts w:ascii="仿宋_GB2312" w:hAnsi="仿宋_GB2312" w:cs="仿宋_GB2312" w:eastAsia="仿宋_GB2312"/>
              </w:rPr>
              <w:t>1.19.7含校准单元，有开路、短路和匹配接口，可实现矢量网络分析仪校准，也可在开路、短路和匹配不同状态下进行测量，分析测试结果</w:t>
            </w:r>
          </w:p>
          <w:p>
            <w:pPr>
              <w:pStyle w:val="null3"/>
            </w:pPr>
            <w:r>
              <w:rPr>
                <w:rFonts w:ascii="仿宋_GB2312" w:hAnsi="仿宋_GB2312" w:cs="仿宋_GB2312" w:eastAsia="仿宋_GB2312"/>
              </w:rPr>
              <w:t>▲1.19.8含IQ调制器/及解调器</w:t>
            </w:r>
          </w:p>
          <w:p>
            <w:pPr>
              <w:pStyle w:val="null3"/>
            </w:pPr>
            <w:r>
              <w:rPr>
                <w:rFonts w:ascii="仿宋_GB2312" w:hAnsi="仿宋_GB2312" w:cs="仿宋_GB2312" w:eastAsia="仿宋_GB2312"/>
              </w:rPr>
              <w:t>1.19.9含本振单元，提供本振信号给上变频发射链路和下变频接受链路。可产生两种不同频率（636.5MHz和233.5MHz）的本振信号，通过跳线开关进行选择控制</w:t>
            </w:r>
          </w:p>
          <w:p>
            <w:pPr>
              <w:pStyle w:val="null3"/>
            </w:pPr>
            <w:r>
              <w:rPr>
                <w:rFonts w:ascii="仿宋_GB2312" w:hAnsi="仿宋_GB2312" w:cs="仿宋_GB2312" w:eastAsia="仿宋_GB2312"/>
              </w:rPr>
              <w:t>1.19.10实验电路板的上变频发射链路和下变频接收链路各个器件都可以进行独立或者联合测试</w:t>
            </w:r>
          </w:p>
          <w:p>
            <w:pPr>
              <w:pStyle w:val="null3"/>
            </w:pPr>
            <w:r>
              <w:rPr>
                <w:rFonts w:ascii="仿宋_GB2312" w:hAnsi="仿宋_GB2312" w:cs="仿宋_GB2312" w:eastAsia="仿宋_GB2312"/>
              </w:rPr>
              <w:t>1.19.11实验电路板含电源供电单元，可以通过5V直流电源供电或者USB接口供电</w:t>
            </w:r>
          </w:p>
          <w:p>
            <w:pPr>
              <w:pStyle w:val="null3"/>
            </w:pPr>
            <w:r>
              <w:rPr>
                <w:rFonts w:ascii="仿宋_GB2312" w:hAnsi="仿宋_GB2312" w:cs="仿宋_GB2312" w:eastAsia="仿宋_GB2312"/>
              </w:rPr>
              <w:t>1.20.射频教育系统</w:t>
            </w:r>
          </w:p>
          <w:p>
            <w:pPr>
              <w:pStyle w:val="null3"/>
            </w:pPr>
            <w:r>
              <w:rPr>
                <w:rFonts w:ascii="仿宋_GB2312" w:hAnsi="仿宋_GB2312" w:cs="仿宋_GB2312" w:eastAsia="仿宋_GB2312"/>
              </w:rPr>
              <w:t>1.20.1 提供全面的教学资源，辅助教学活动的开展，具体内容如下:配套多媒体教学平台，包含理论基础、实训操作等完整教学资源，支持视频演示与实操指导</w:t>
            </w:r>
          </w:p>
          <w:p>
            <w:pPr>
              <w:pStyle w:val="null3"/>
            </w:pPr>
            <w:r>
              <w:rPr>
                <w:rFonts w:ascii="仿宋_GB2312" w:hAnsi="仿宋_GB2312" w:cs="仿宋_GB2312" w:eastAsia="仿宋_GB2312"/>
              </w:rPr>
              <w:t>1.20.2 从理论认知到实操训练的完整教学平台。系统通过模块化设计，覆盖信号生成、采集、分析、目标模拟及探测等全流程，同时整合基础射频实验所需的核心设备，助力学生掌握射频信号特性、电路工作原理、链路级联特性及测量技术。</w:t>
            </w:r>
          </w:p>
          <w:p>
            <w:pPr>
              <w:pStyle w:val="null3"/>
            </w:pPr>
            <w:r>
              <w:rPr>
                <w:rFonts w:ascii="仿宋_GB2312" w:hAnsi="仿宋_GB2312" w:cs="仿宋_GB2312" w:eastAsia="仿宋_GB2312"/>
              </w:rPr>
              <w:t>1.20.3 配合现有设备完成射频教学平台搭建，教学系统需兼容实验室已有设备及新采购设备</w:t>
            </w:r>
          </w:p>
          <w:p>
            <w:pPr>
              <w:pStyle w:val="null3"/>
            </w:pPr>
            <w:r>
              <w:rPr>
                <w:rFonts w:ascii="仿宋_GB2312" w:hAnsi="仿宋_GB2312" w:cs="仿宋_GB2312" w:eastAsia="仿宋_GB2312"/>
              </w:rPr>
              <w:t>1.20.4 提供专业教学视频及实践课件，配合教学平台完成科研及教学任务</w:t>
            </w:r>
          </w:p>
          <w:p>
            <w:pPr>
              <w:pStyle w:val="null3"/>
            </w:pPr>
            <w:r>
              <w:rPr>
                <w:rFonts w:ascii="仿宋_GB2312" w:hAnsi="仿宋_GB2312" w:cs="仿宋_GB2312" w:eastAsia="仿宋_GB2312"/>
              </w:rPr>
              <w:t>2.必要配置：</w:t>
            </w:r>
          </w:p>
          <w:p>
            <w:pPr>
              <w:pStyle w:val="null3"/>
            </w:pPr>
            <w:r>
              <w:rPr>
                <w:rFonts w:ascii="仿宋_GB2312" w:hAnsi="仿宋_GB2312" w:cs="仿宋_GB2312" w:eastAsia="仿宋_GB2312"/>
              </w:rPr>
              <w:t>2.1频谱分析仪主机      1套</w:t>
            </w:r>
          </w:p>
          <w:p>
            <w:pPr>
              <w:pStyle w:val="null3"/>
            </w:pPr>
            <w:r>
              <w:rPr>
                <w:rFonts w:ascii="仿宋_GB2312" w:hAnsi="仿宋_GB2312" w:cs="仿宋_GB2312" w:eastAsia="仿宋_GB2312"/>
              </w:rPr>
              <w:t>2.2 EMI近场探头套件    1套</w:t>
            </w:r>
          </w:p>
          <w:p>
            <w:pPr>
              <w:pStyle w:val="null3"/>
            </w:pPr>
            <w:r>
              <w:rPr>
                <w:rFonts w:ascii="仿宋_GB2312" w:hAnsi="仿宋_GB2312" w:cs="仿宋_GB2312" w:eastAsia="仿宋_GB2312"/>
              </w:rPr>
              <w:t>2.3 锂电池供电电源        1套</w:t>
            </w:r>
          </w:p>
          <w:p>
            <w:pPr>
              <w:pStyle w:val="null3"/>
            </w:pPr>
            <w:r>
              <w:rPr>
                <w:rFonts w:ascii="仿宋_GB2312" w:hAnsi="仿宋_GB2312" w:cs="仿宋_GB2312" w:eastAsia="仿宋_GB2312"/>
              </w:rPr>
              <w:t>3.技术服务：</w:t>
            </w:r>
          </w:p>
          <w:p>
            <w:pPr>
              <w:pStyle w:val="null3"/>
            </w:pPr>
            <w:r>
              <w:rPr>
                <w:rFonts w:ascii="仿宋_GB2312" w:hAnsi="仿宋_GB2312" w:cs="仿宋_GB2312" w:eastAsia="仿宋_GB2312"/>
              </w:rPr>
              <w:t>具备本地售后，为采购人培训使用仪器的工作人员。其培训内容指的是仪器设备的基本原理、安装、调试、操作使用和日常保养维修等。</w:t>
            </w:r>
          </w:p>
          <w:p>
            <w:pPr>
              <w:pStyle w:val="null3"/>
            </w:pPr>
            <w:r>
              <w:rPr>
                <w:rFonts w:ascii="仿宋_GB2312" w:hAnsi="仿宋_GB2312" w:cs="仿宋_GB2312" w:eastAsia="仿宋_GB2312"/>
              </w:rPr>
              <w:t>4.性能试验与质量保证：</w:t>
            </w:r>
          </w:p>
          <w:p>
            <w:pPr>
              <w:pStyle w:val="null3"/>
            </w:pPr>
            <w:r>
              <w:rPr>
                <w:rFonts w:ascii="仿宋_GB2312" w:hAnsi="仿宋_GB2312" w:cs="仿宋_GB2312" w:eastAsia="仿宋_GB2312"/>
              </w:rPr>
              <w:t>4.1应对仪器设备的质量、规格、性能、数量进行详细和全面的检查，并出具检验证明，如有缺失，应负责赔偿。</w:t>
            </w:r>
          </w:p>
          <w:p>
            <w:pPr>
              <w:pStyle w:val="null3"/>
            </w:pPr>
            <w:r>
              <w:rPr>
                <w:rFonts w:ascii="仿宋_GB2312" w:hAnsi="仿宋_GB2312" w:cs="仿宋_GB2312" w:eastAsia="仿宋_GB2312"/>
              </w:rPr>
              <w:t>5.技术文件：提供仪器设备的操作手册。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因系统受限，具体详见其他要求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自仪器安装调试合格之日起保修一年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 因电子化格式有限，投标人还需对以下支付约定进行响应：投标人须自行选择以下任一付款方式。只能唯一响应，不接受选择性响应，否则视为未实质性响应招标文件要求。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3.5.2投标人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如果是双面打印的投标文件，按双面打码）， 在封口处加盖供应商公章；纸质投标文件递交截止时间与线上开评标时间一致；纸质投标文件可邮寄递交，应于递交投标文件截止时间前邮寄到代理机构。 3.5.3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投标人资格证明文件.docx 投标文件封面 商务部分偏离表.docx 承诺函、其他资料.docx 监狱企业的证明文件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 投标文件封面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满足本招标文件3.4商务要求中交货时间、交货地点、支付约定、质量保修范围和保修期要求的；以及对3.5其他要求中3.5.1付款方式进行唯一响应的；</w:t>
            </w:r>
          </w:p>
        </w:tc>
        <w:tc>
          <w:tcPr>
            <w:tcW w:type="dxa" w:w="1661"/>
          </w:tcPr>
          <w:p>
            <w:pPr>
              <w:pStyle w:val="null3"/>
            </w:pPr>
            <w:r>
              <w:rPr>
                <w:rFonts w:ascii="仿宋_GB2312" w:hAnsi="仿宋_GB2312" w:cs="仿宋_GB2312" w:eastAsia="仿宋_GB2312"/>
              </w:rPr>
              <w:t>投标文件封面 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投标文件封面 承诺函、其他资料.docx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1.技术要求）无偏离计30分，“★”号参数为关键技术指标，不满足按无效投标处理；“▲”号参数为重要技术指标，每负偏离一项扣2分；未标注“★”、“▲”号参数每负偏离一项扣0.69分。 备注： 1.所投产品完全复制招标文件技术指标要求的，给予10分扣分，文字描述、国标、定制尺寸的技术指标除外。 2.标注“★”、“▲”号参数需提供佐证材料，包括但不限于功能截图或检测报告或官网截图或产品说明书等证明材料。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投标人提供针对本项目的实施方案，包括但不限于①供货组织安排，包括仓储、运输、派送措施等方面；②安装调试方案；③实施步骤、进度计划和保证措施等。 满足项目实施需求，无瑕疵，计8分； 每存在一处瑕疵扣1分； 存在8处及以上瑕疵或未提供，不计分。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投标人针对本项目所投产品性能进行阐述，包括①产品选型配置的说明、各系统模块的兼容性；②仪器设备使用性能及技术成熟度；③实验应用效果；④保障维护及维护成本分析等方面。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投标人针对本项目提供培训方案，方案应至少包括但不限于①培训时间计划及培训人员安排；②培训内容设计安排（设备原理和技术性能、仪器操作、仪器维护、故障排除等）；③培训效果。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投标报价得分=（评标基准价/投标报价）×35，满足招标文件要求且投标价格最低的投标报价为评标基准价，其价格分为满分35分。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详见附件：1.技术响应与偏离表、佐证材料.docx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详见附件：3产品性能.docx</w:t>
      </w:r>
    </w:p>
    <w:p>
      <w:pPr>
        <w:pStyle w:val="null3"/>
        <w:ind w:firstLine="960"/>
      </w:pPr>
      <w:r>
        <w:rPr>
          <w:rFonts w:ascii="仿宋_GB2312" w:hAnsi="仿宋_GB2312" w:cs="仿宋_GB2312" w:eastAsia="仿宋_GB2312"/>
        </w:rPr>
        <w:t>详见附件：4质量保证方案.docx</w:t>
      </w:r>
    </w:p>
    <w:p>
      <w:pPr>
        <w:pStyle w:val="null3"/>
        <w:ind w:firstLine="960"/>
      </w:pPr>
      <w:r>
        <w:rPr>
          <w:rFonts w:ascii="仿宋_GB2312" w:hAnsi="仿宋_GB2312" w:cs="仿宋_GB2312" w:eastAsia="仿宋_GB2312"/>
        </w:rPr>
        <w:t>详见附件：5培训方案.docx</w:t>
      </w:r>
    </w:p>
    <w:p>
      <w:pPr>
        <w:pStyle w:val="null3"/>
        <w:ind w:firstLine="960"/>
      </w:pPr>
      <w:r>
        <w:rPr>
          <w:rFonts w:ascii="仿宋_GB2312" w:hAnsi="仿宋_GB2312" w:cs="仿宋_GB2312" w:eastAsia="仿宋_GB2312"/>
        </w:rPr>
        <w:t>详见附件：6售后服务方案.docx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详见附件：8节能环保.docx</w:t>
      </w:r>
    </w:p>
    <w:p>
      <w:pPr>
        <w:pStyle w:val="null3"/>
        <w:ind w:firstLine="960"/>
      </w:pPr>
      <w:r>
        <w:rPr>
          <w:rFonts w:ascii="仿宋_GB2312" w:hAnsi="仿宋_GB2312" w:cs="仿宋_GB2312" w:eastAsia="仿宋_GB2312"/>
        </w:rPr>
        <w:t>详见附件：承诺函、其他资料.docx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