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版本号：【KRDL】K4-251020220251210001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污水处理运营管理服务项目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【KRDL】K4-2510202</w:t>
      </w:r>
      <w:r>
        <w:br/>
      </w:r>
      <w:r>
        <w:br/>
      </w:r>
      <w:r>
        <w:br/>
      </w:r>
    </w:p>
    <w:p>
      <w:pPr>
        <w:pStyle w:val="null3"/>
        <w:jc w:val="center"/>
        <w:outlineLvl w:val="2"/>
      </w:pPr>
      <w:r>
        <w:rPr>
          <w:rFonts w:ascii="仿宋_GB2312" w:hAnsi="仿宋_GB2312" w:cs="仿宋_GB2312" w:eastAsia="仿宋_GB2312"/>
          <w:sz w:val="28"/>
          <w:b/>
        </w:rPr>
        <w:t>陕西中医药大学附属医院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陕西中医药大学附属医院</w:t>
      </w:r>
      <w:r>
        <w:rPr>
          <w:rFonts w:ascii="仿宋_GB2312" w:hAnsi="仿宋_GB2312" w:cs="仿宋_GB2312" w:eastAsia="仿宋_GB2312"/>
        </w:rPr>
        <w:t>委托，拟对</w:t>
      </w:r>
      <w:r>
        <w:rPr>
          <w:rFonts w:ascii="仿宋_GB2312" w:hAnsi="仿宋_GB2312" w:cs="仿宋_GB2312" w:eastAsia="仿宋_GB2312"/>
        </w:rPr>
        <w:t>污水处理运营管理服务项目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【KRDL】K4-2510202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污水处理运营管理服务项目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陕西中医药大学附属医院污水处理运营管理服务项目，具体服务内容及要求详见竞争性磋商文件。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1、主体资格：供应商为向采购人提供相关服务的法人或其他组织；</w:t>
      </w:r>
    </w:p>
    <w:p>
      <w:pPr>
        <w:pStyle w:val="null3"/>
      </w:pPr>
      <w:r>
        <w:rPr>
          <w:rFonts w:ascii="仿宋_GB2312" w:hAnsi="仿宋_GB2312" w:cs="仿宋_GB2312" w:eastAsia="仿宋_GB2312"/>
        </w:rPr>
        <w:t>2、社会保障资金缴纳证明：供应商提供自2025年至今已缴纳的至少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3、税收缴纳证明：供应商提供自2025年至今已缴纳的至少一个月纳税证明或完税证明，依法免税的单位应提供相关证明材料；</w:t>
      </w:r>
    </w:p>
    <w:p>
      <w:pPr>
        <w:pStyle w:val="null3"/>
      </w:pPr>
      <w:r>
        <w:rPr>
          <w:rFonts w:ascii="仿宋_GB2312" w:hAnsi="仿宋_GB2312" w:cs="仿宋_GB2312" w:eastAsia="仿宋_GB2312"/>
        </w:rPr>
        <w:t>4、财务状况证明：供应商提供经会计师事务所审计的2024年的财务审计报告或在开标日期前六个月内其基本开户银行出具的资信证明；</w:t>
      </w:r>
    </w:p>
    <w:p>
      <w:pPr>
        <w:pStyle w:val="null3"/>
      </w:pPr>
      <w:r>
        <w:rPr>
          <w:rFonts w:ascii="仿宋_GB2312" w:hAnsi="仿宋_GB2312" w:cs="仿宋_GB2312" w:eastAsia="仿宋_GB2312"/>
        </w:rPr>
        <w:t>5、信誉要求：截止至响应文件递交截止时间之前，供应商未被“信用中国”网站列入失信被执行人、重大税收违法失信主体名单，未被“中国政府采购网”网站列入政府采购严重违法失信行为记录名单；(www.ccgp.gov.cn)”政府采购严重违法失信行为记录名单；</w:t>
      </w:r>
    </w:p>
    <w:p>
      <w:pPr>
        <w:pStyle w:val="null3"/>
      </w:pPr>
      <w:r>
        <w:rPr>
          <w:rFonts w:ascii="仿宋_GB2312" w:hAnsi="仿宋_GB2312" w:cs="仿宋_GB2312" w:eastAsia="仿宋_GB2312"/>
        </w:rPr>
        <w:t>6、是否专门面向中小企业采购：本项目不专门面向中、小企业采购。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陕西中医药大学附属医院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陕西省咸阳市渭阳西路副2号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029-33320910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姚瑶、代光艳、贾亚妮、刘如拉、王昭、刘昆、张晨、王森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029-89581863、15229797656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说明：成交供应商中标后凭中标（成交）通知书向采购人缴纳合同金额的10%作为履约保证金； 本项目服务期限结束后，成交供应商提出书面申请，采购人将履约保证金（无息）退还成交供应商。</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857号）的有关规定下浮20%向采购代理机构一次付清≤10200.00元代理服务费。 备注：供应商在缴纳保证金或服务费时请备注项目编号+代理服务费/投标保证金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陕西中医药大学附属医院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陕西中医药大学附属医院</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陕西中医药大学附属医院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w:t>
      </w:r>
    </w:p>
    <w:p>
      <w:pPr>
        <w:pStyle w:val="null3"/>
      </w:pPr>
      <w:r>
        <w:rPr>
          <w:rFonts w:ascii="仿宋_GB2312" w:hAnsi="仿宋_GB2312" w:cs="仿宋_GB2312" w:eastAsia="仿宋_GB2312"/>
        </w:rPr>
        <w:t>联系电话：029-89581311、17302920968</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中医药大学附属医院污水处理运营管理服务项目，为保障污水处理站可靠运行，全院（含嘉惠分院）医疗废水排放达到环保部门对污水排放的相关标准，结合医院院区污水管理实际情况，现拟选择一家具有污水站运维资质的运维公司对医院南、北污水站及嘉惠分院污水设施进行运营管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污水处理运营管理服务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标的名称：污水处理运营管理服务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污水处理概况</w:t>
            </w:r>
          </w:p>
          <w:p>
            <w:pPr>
              <w:pStyle w:val="null3"/>
              <w:ind w:firstLine="480"/>
              <w:jc w:val="both"/>
            </w:pPr>
            <w:r>
              <w:rPr>
                <w:rFonts w:ascii="仿宋_GB2312" w:hAnsi="仿宋_GB2312" w:cs="仿宋_GB2312" w:eastAsia="仿宋_GB2312"/>
                <w:sz w:val="24"/>
                <w:color w:val="000000"/>
              </w:rPr>
              <w:t>陕西中医药大学附属医院有三座污水处理站，分别是陕中附院南、北污水处理站和嘉惠分院污水处理设施，其中南楼污水处理站设计规模</w:t>
            </w:r>
            <w:r>
              <w:rPr>
                <w:rFonts w:ascii="仿宋_GB2312" w:hAnsi="仿宋_GB2312" w:cs="仿宋_GB2312" w:eastAsia="仿宋_GB2312"/>
                <w:sz w:val="24"/>
                <w:color w:val="000000"/>
              </w:rPr>
              <w:t>1400m</w:t>
            </w:r>
            <w:r>
              <w:rPr>
                <w:rFonts w:ascii="仿宋_GB2312" w:hAnsi="仿宋_GB2312" w:cs="仿宋_GB2312" w:eastAsia="仿宋_GB2312"/>
                <w:sz w:val="24"/>
                <w:color w:val="000000"/>
                <w:vertAlign w:val="superscript"/>
              </w:rPr>
              <w:t>3</w:t>
            </w:r>
            <w:r>
              <w:rPr>
                <w:rFonts w:ascii="仿宋_GB2312" w:hAnsi="仿宋_GB2312" w:cs="仿宋_GB2312" w:eastAsia="仿宋_GB2312"/>
                <w:sz w:val="24"/>
                <w:color w:val="000000"/>
              </w:rPr>
              <w:t>/日，北侧污水站设计规模350m</w:t>
            </w:r>
            <w:r>
              <w:rPr>
                <w:rFonts w:ascii="仿宋_GB2312" w:hAnsi="仿宋_GB2312" w:cs="仿宋_GB2312" w:eastAsia="仿宋_GB2312"/>
                <w:sz w:val="24"/>
                <w:color w:val="000000"/>
                <w:vertAlign w:val="superscript"/>
              </w:rPr>
              <w:t>3</w:t>
            </w:r>
            <w:r>
              <w:rPr>
                <w:rFonts w:ascii="仿宋_GB2312" w:hAnsi="仿宋_GB2312" w:cs="仿宋_GB2312" w:eastAsia="仿宋_GB2312"/>
                <w:sz w:val="24"/>
                <w:color w:val="000000"/>
              </w:rPr>
              <w:t>/日。陕西中医药大学附属医院嘉惠分院污水处理设备设计规模40m3/日。以及三座污水预处理设施：1</w:t>
            </w:r>
            <w:r>
              <w:rPr>
                <w:rFonts w:ascii="仿宋_GB2312" w:hAnsi="仿宋_GB2312" w:cs="仿宋_GB2312" w:eastAsia="仿宋_GB2312"/>
                <w:sz w:val="24"/>
                <w:color w:val="000000"/>
              </w:rPr>
              <w:t>.</w:t>
            </w:r>
            <w:r>
              <w:rPr>
                <w:rFonts w:ascii="仿宋_GB2312" w:hAnsi="仿宋_GB2312" w:cs="仿宋_GB2312" w:eastAsia="仿宋_GB2312"/>
                <w:sz w:val="24"/>
                <w:color w:val="000000"/>
              </w:rPr>
              <w:t>发热门预处理设施</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检验科预处理设施</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肝病楼预处理设施，</w:t>
            </w:r>
            <w:r>
              <w:rPr>
                <w:rFonts w:ascii="仿宋_GB2312" w:hAnsi="仿宋_GB2312" w:cs="仿宋_GB2312" w:eastAsia="仿宋_GB2312"/>
                <w:sz w:val="24"/>
                <w:color w:val="000000"/>
              </w:rPr>
              <w:t>医院</w:t>
            </w:r>
            <w:r>
              <w:rPr>
                <w:rFonts w:ascii="仿宋_GB2312" w:hAnsi="仿宋_GB2312" w:cs="仿宋_GB2312" w:eastAsia="仿宋_GB2312"/>
                <w:sz w:val="24"/>
                <w:color w:val="000000"/>
              </w:rPr>
              <w:t>污水处理及预处理设备均采用次氯酸钠作为剂消毒</w:t>
            </w:r>
            <w:r>
              <w:rPr>
                <w:rFonts w:ascii="仿宋_GB2312" w:hAnsi="仿宋_GB2312" w:cs="仿宋_GB2312" w:eastAsia="仿宋_GB2312"/>
                <w:sz w:val="24"/>
                <w:color w:val="000000"/>
              </w:rPr>
              <w:t>。</w:t>
            </w:r>
            <w:r>
              <w:rPr>
                <w:rFonts w:ascii="仿宋_GB2312" w:hAnsi="仿宋_GB2312" w:cs="仿宋_GB2312" w:eastAsia="仿宋_GB2312"/>
                <w:sz w:val="24"/>
                <w:color w:val="000000"/>
              </w:rPr>
              <w:t>具体情况以实际为准。</w:t>
            </w:r>
          </w:p>
          <w:p>
            <w:pPr>
              <w:pStyle w:val="null3"/>
              <w:ind w:firstLine="482"/>
              <w:jc w:val="both"/>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污水处理工艺</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南楼污水处理站主要处理工艺：人工格栅</w:t>
            </w:r>
            <w:r>
              <w:rPr>
                <w:rFonts w:ascii="仿宋_GB2312" w:hAnsi="仿宋_GB2312" w:cs="仿宋_GB2312" w:eastAsia="仿宋_GB2312"/>
                <w:sz w:val="24"/>
                <w:color w:val="000000"/>
              </w:rPr>
              <w:t>+曝气调节+二段接触氧化+斜管沉淀+消毒。消毒剂采用次氯酸钠。</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北侧污水处理站主要处理工艺：化粪池</w:t>
            </w:r>
            <w:r>
              <w:rPr>
                <w:rFonts w:ascii="仿宋_GB2312" w:hAnsi="仿宋_GB2312" w:cs="仿宋_GB2312" w:eastAsia="仿宋_GB2312"/>
                <w:sz w:val="24"/>
                <w:color w:val="000000"/>
              </w:rPr>
              <w:t>+人工格栅+调节+一级生化+沉淀+消毒。消毒剂采用次氯酸钠。</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嘉慧分院污水处理设备采用一体化污水处理。</w:t>
            </w:r>
          </w:p>
          <w:p>
            <w:pPr>
              <w:pStyle w:val="null3"/>
              <w:ind w:firstLine="482"/>
              <w:jc w:val="both"/>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污水处理设备</w:t>
            </w:r>
          </w:p>
          <w:p>
            <w:pPr>
              <w:pStyle w:val="null3"/>
              <w:ind w:firstLine="482"/>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污水南站设备清单</w:t>
            </w:r>
          </w:p>
          <w:tbl>
            <w:tblPr>
              <w:tblBorders>
                <w:top w:val="none" w:color="000000" w:sz="4"/>
                <w:left w:val="none" w:color="000000" w:sz="4"/>
                <w:bottom w:val="none" w:color="000000" w:sz="4"/>
                <w:right w:val="none" w:color="000000" w:sz="4"/>
                <w:insideH w:val="none"/>
                <w:insideV w:val="none"/>
              </w:tblBorders>
            </w:tblPr>
            <w:tblGrid>
              <w:gridCol w:w="1448"/>
              <w:gridCol w:w="1094"/>
            </w:tblGrid>
            <w:tr>
              <w:tc>
                <w:tcPr>
                  <w:tcW w:type="dxa" w:w="1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设备名称</w:t>
                  </w:r>
                </w:p>
              </w:tc>
              <w:tc>
                <w:tcPr>
                  <w:tcW w:type="dxa" w:w="10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调节池水循环系统</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两套</w:t>
                  </w:r>
                </w:p>
              </w:tc>
            </w:tr>
            <w:tr>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高能尾气处理系统</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一套</w:t>
                  </w:r>
                </w:p>
              </w:tc>
            </w:tr>
            <w:tr>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次氯酸钠加药系统</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两套</w:t>
                  </w:r>
                </w:p>
              </w:tc>
            </w:tr>
            <w:tr>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PAC加药系统</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一套</w:t>
                  </w:r>
                </w:p>
              </w:tc>
            </w:tr>
            <w:tr>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次氯酸钠储药罐</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三个</w:t>
                  </w:r>
                </w:p>
              </w:tc>
            </w:tr>
            <w:tr>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PAC储药罐</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一个</w:t>
                  </w:r>
                </w:p>
              </w:tc>
            </w:tr>
            <w:tr>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污泥回流系统</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一套</w:t>
                  </w:r>
                </w:p>
              </w:tc>
            </w:tr>
            <w:tr>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PLC自控系统控制柜</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一个</w:t>
                  </w:r>
                </w:p>
              </w:tc>
            </w:tr>
            <w:tr>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空气悬浮风机</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两套</w:t>
                  </w:r>
                </w:p>
              </w:tc>
            </w:tr>
            <w:tr>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工控机</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一套</w:t>
                  </w:r>
                </w:p>
              </w:tc>
            </w:tr>
            <w:tr>
              <w:tc>
                <w:tcPr>
                  <w:tcW w:type="dxa" w:w="1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配套水电系统</w:t>
                  </w:r>
                </w:p>
              </w:tc>
              <w:tc>
                <w:tcPr>
                  <w:tcW w:type="dxa" w:w="10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一套</w:t>
                  </w:r>
                </w:p>
              </w:tc>
            </w:tr>
          </w:tbl>
          <w:p>
            <w:pPr>
              <w:pStyle w:val="null3"/>
              <w:ind w:firstLine="482"/>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污水北站设备清单</w:t>
            </w:r>
          </w:p>
          <w:tbl>
            <w:tblPr>
              <w:tblBorders>
                <w:top w:val="none" w:color="000000" w:sz="4"/>
                <w:left w:val="none" w:color="000000" w:sz="4"/>
                <w:bottom w:val="none" w:color="000000" w:sz="4"/>
                <w:right w:val="none" w:color="000000" w:sz="4"/>
                <w:insideH w:val="none"/>
                <w:insideV w:val="none"/>
              </w:tblBorders>
            </w:tblPr>
            <w:tblGrid>
              <w:gridCol w:w="1482"/>
              <w:gridCol w:w="1065"/>
            </w:tblGrid>
            <w:tr>
              <w:tc>
                <w:tcPr>
                  <w:tcW w:type="dxa" w:w="14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设备名称</w:t>
                  </w:r>
                </w:p>
              </w:tc>
              <w:tc>
                <w:tcPr>
                  <w:tcW w:type="dxa" w:w="10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明渠水泵</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一台</w:t>
                  </w:r>
                </w:p>
              </w:tc>
            </w:tr>
            <w:tr>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次氯酸钠加药系统</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两套</w:t>
                  </w:r>
                </w:p>
              </w:tc>
            </w:tr>
            <w:tr>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次氯酸钠储药罐</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一个</w:t>
                  </w:r>
                </w:p>
              </w:tc>
            </w:tr>
            <w:tr>
              <w:tc>
                <w:tcPr>
                  <w:tcW w:type="dxa" w:w="14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配套的水电管线</w:t>
                  </w:r>
                </w:p>
              </w:tc>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一套</w:t>
                  </w:r>
                </w:p>
              </w:tc>
            </w:tr>
          </w:tbl>
          <w:p>
            <w:pPr>
              <w:pStyle w:val="null3"/>
              <w:ind w:firstLine="482"/>
              <w:jc w:val="both"/>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院内预处理设备及嘉惠分院污水处理设备清单</w:t>
            </w:r>
          </w:p>
          <w:tbl>
            <w:tblPr>
              <w:tblBorders>
                <w:top w:val="none" w:color="000000" w:sz="4"/>
                <w:left w:val="none" w:color="000000" w:sz="4"/>
                <w:bottom w:val="none" w:color="000000" w:sz="4"/>
                <w:right w:val="none" w:color="000000" w:sz="4"/>
                <w:insideH w:val="none"/>
                <w:insideV w:val="none"/>
              </w:tblBorders>
            </w:tblPr>
            <w:tblGrid>
              <w:gridCol w:w="1539"/>
              <w:gridCol w:w="1008"/>
            </w:tblGrid>
            <w:tr>
              <w:tc>
                <w:tcPr>
                  <w:tcW w:type="dxa" w:w="1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院内预处理设备名称</w:t>
                  </w:r>
                </w:p>
              </w:tc>
              <w:tc>
                <w:tcPr>
                  <w:tcW w:type="dxa" w:w="10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次氯酸钠加药系统</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8套</w:t>
                  </w:r>
                </w:p>
              </w:tc>
            </w:tr>
            <w:tr>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次氯酸钠储药罐</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7个</w:t>
                  </w:r>
                </w:p>
              </w:tc>
            </w:tr>
            <w:tr>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污水一体化处理设备</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1套</w:t>
                  </w:r>
                </w:p>
              </w:tc>
            </w:tr>
            <w:tr>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嘉惠分院污水处理设施、设备</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r>
            <w:tr>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调节系统</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氧化系统</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沉淀系统</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加药系统</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风机系统</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自动化控制、智能信息采集系统</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r>
              <w:tc>
                <w:tcPr>
                  <w:tcW w:type="dxa" w:w="1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配套的水电管线</w:t>
                  </w:r>
                </w:p>
              </w:tc>
              <w:tc>
                <w:tcPr>
                  <w:tcW w:type="dxa" w:w="10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r>
          </w:tbl>
          <w:p>
            <w:pPr>
              <w:pStyle w:val="null3"/>
              <w:ind w:firstLine="482"/>
              <w:jc w:val="both"/>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、污水处理站运营</w:t>
            </w:r>
            <w:r>
              <w:rPr>
                <w:rFonts w:ascii="仿宋_GB2312" w:hAnsi="仿宋_GB2312" w:cs="仿宋_GB2312" w:eastAsia="仿宋_GB2312"/>
                <w:sz w:val="24"/>
                <w:b/>
                <w:color w:val="000000"/>
              </w:rPr>
              <w:t>管理</w:t>
            </w:r>
            <w:r>
              <w:rPr>
                <w:rFonts w:ascii="仿宋_GB2312" w:hAnsi="仿宋_GB2312" w:cs="仿宋_GB2312" w:eastAsia="仿宋_GB2312"/>
                <w:sz w:val="24"/>
                <w:b/>
                <w:color w:val="000000"/>
              </w:rPr>
              <w:t>服务要求</w:t>
            </w:r>
          </w:p>
          <w:p>
            <w:pPr>
              <w:pStyle w:val="null3"/>
              <w:ind w:firstLine="482"/>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污水处理运营服务要求</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安全管理：</w:t>
            </w:r>
            <w:r>
              <w:rPr>
                <w:rFonts w:ascii="仿宋_GB2312" w:hAnsi="仿宋_GB2312" w:cs="仿宋_GB2312" w:eastAsia="仿宋_GB2312"/>
                <w:sz w:val="24"/>
                <w:color w:val="000000"/>
              </w:rPr>
              <w:t>成交供应商运营污水站期间对污水站设施设备运行所产生的安全风险负责，</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应</w:t>
            </w:r>
            <w:r>
              <w:rPr>
                <w:rFonts w:ascii="仿宋_GB2312" w:hAnsi="仿宋_GB2312" w:cs="仿宋_GB2312" w:eastAsia="仿宋_GB2312"/>
                <w:sz w:val="24"/>
                <w:color w:val="000000"/>
              </w:rPr>
              <w:t>制定符合医院实际情况安全管理制度，</w:t>
            </w:r>
            <w:r>
              <w:rPr>
                <w:rFonts w:ascii="仿宋_GB2312" w:hAnsi="仿宋_GB2312" w:cs="仿宋_GB2312" w:eastAsia="仿宋_GB2312"/>
                <w:sz w:val="24"/>
                <w:color w:val="000000"/>
              </w:rPr>
              <w:t>釆取严格的安全保护措施，</w:t>
            </w:r>
            <w:r>
              <w:rPr>
                <w:rFonts w:ascii="仿宋_GB2312" w:hAnsi="仿宋_GB2312" w:cs="仿宋_GB2312" w:eastAsia="仿宋_GB2312"/>
                <w:sz w:val="24"/>
                <w:color w:val="000000"/>
              </w:rPr>
              <w:t>配备</w:t>
            </w:r>
            <w:r>
              <w:rPr>
                <w:rFonts w:ascii="仿宋_GB2312" w:hAnsi="仿宋_GB2312" w:cs="仿宋_GB2312" w:eastAsia="仿宋_GB2312"/>
                <w:sz w:val="24"/>
                <w:color w:val="000000"/>
              </w:rPr>
              <w:t>安全管理员</w:t>
            </w:r>
            <w:r>
              <w:rPr>
                <w:rFonts w:ascii="仿宋_GB2312" w:hAnsi="仿宋_GB2312" w:cs="仿宋_GB2312" w:eastAsia="仿宋_GB2312"/>
                <w:sz w:val="24"/>
                <w:color w:val="000000"/>
              </w:rPr>
              <w:t>，</w:t>
            </w:r>
            <w:r>
              <w:rPr>
                <w:rFonts w:ascii="仿宋_GB2312" w:hAnsi="仿宋_GB2312" w:cs="仿宋_GB2312" w:eastAsia="仿宋_GB2312"/>
                <w:sz w:val="24"/>
                <w:color w:val="000000"/>
              </w:rPr>
              <w:t>做好污水</w:t>
            </w:r>
            <w:r>
              <w:rPr>
                <w:rFonts w:ascii="仿宋_GB2312" w:hAnsi="仿宋_GB2312" w:cs="仿宋_GB2312" w:eastAsia="仿宋_GB2312"/>
                <w:sz w:val="24"/>
                <w:color w:val="000000"/>
              </w:rPr>
              <w:t>站运营相关的</w:t>
            </w:r>
            <w:r>
              <w:rPr>
                <w:rFonts w:ascii="仿宋_GB2312" w:hAnsi="仿宋_GB2312" w:cs="仿宋_GB2312" w:eastAsia="仿宋_GB2312"/>
                <w:sz w:val="24"/>
                <w:color w:val="000000"/>
              </w:rPr>
              <w:t>安全风险</w:t>
            </w:r>
            <w:r>
              <w:rPr>
                <w:rFonts w:ascii="仿宋_GB2312" w:hAnsi="仿宋_GB2312" w:cs="仿宋_GB2312" w:eastAsia="仿宋_GB2312"/>
                <w:sz w:val="24"/>
                <w:color w:val="000000"/>
              </w:rPr>
              <w:t>警示标识标牌等并定期组织</w:t>
            </w:r>
            <w:r>
              <w:rPr>
                <w:rFonts w:ascii="仿宋_GB2312" w:hAnsi="仿宋_GB2312" w:cs="仿宋_GB2312" w:eastAsia="仿宋_GB2312"/>
                <w:sz w:val="24"/>
                <w:color w:val="000000"/>
              </w:rPr>
              <w:t>开展安全培训</w:t>
            </w:r>
            <w:r>
              <w:rPr>
                <w:rFonts w:ascii="仿宋_GB2312" w:hAnsi="仿宋_GB2312" w:cs="仿宋_GB2312" w:eastAsia="仿宋_GB2312"/>
                <w:sz w:val="24"/>
                <w:color w:val="000000"/>
              </w:rPr>
              <w:t>，</w:t>
            </w:r>
            <w:r>
              <w:rPr>
                <w:rFonts w:ascii="仿宋_GB2312" w:hAnsi="仿宋_GB2312" w:cs="仿宋_GB2312" w:eastAsia="仿宋_GB2312"/>
                <w:sz w:val="24"/>
                <w:color w:val="000000"/>
              </w:rPr>
              <w:t>污水站设施设备运行所产生的安全事故由成交供应商负责</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达标排放：设计出水水质达到《医疗机构水污染物排放标准》</w:t>
            </w:r>
            <w:r>
              <w:rPr>
                <w:rFonts w:ascii="仿宋_GB2312" w:hAnsi="仿宋_GB2312" w:cs="仿宋_GB2312" w:eastAsia="仿宋_GB2312"/>
                <w:sz w:val="24"/>
                <w:color w:val="000000"/>
              </w:rPr>
              <w:t>(GB18466-2005)中处理标准，国家相应标准更新则以最新标准为准。污水站运维过程中污水水质、噪声、废气等环保指标不达标或管理不规范所引起的一切责任及经济处罚由</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承担。</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费用包干，费用包含国家所规定的管理费、利润、税金等及其他费用。费用超支或亏损由</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自行承担。</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本项目报价采用含税固定总价一次性包死，不受市场价格变化因素的影响。</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服从医院后勤保障部管理，完成各项临时性工作安排。</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医院有权撤销项目</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不合格的项目负责人及相关工作人员，项目</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并须及时更换和补充服务人员。</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二</w:t>
            </w:r>
            <w:r>
              <w:rPr>
                <w:rFonts w:ascii="仿宋_GB2312" w:hAnsi="仿宋_GB2312" w:cs="仿宋_GB2312" w:eastAsia="仿宋_GB2312"/>
                <w:sz w:val="24"/>
                <w:color w:val="000000"/>
              </w:rPr>
              <w:t>）</w:t>
            </w:r>
            <w:r>
              <w:rPr>
                <w:rFonts w:ascii="仿宋_GB2312" w:hAnsi="仿宋_GB2312" w:cs="仿宋_GB2312" w:eastAsia="仿宋_GB2312"/>
                <w:sz w:val="24"/>
                <w:color w:val="000000"/>
              </w:rPr>
              <w:t>污水处理运营服务内容</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提供的管理服务必须满足三级甲等医院服务标准；</w:t>
            </w:r>
            <w:r>
              <w:rPr>
                <w:rFonts w:ascii="仿宋_GB2312" w:hAnsi="仿宋_GB2312" w:cs="仿宋_GB2312" w:eastAsia="仿宋_GB2312"/>
                <w:sz w:val="24"/>
                <w:color w:val="000000"/>
              </w:rPr>
              <w:t>主要</w:t>
            </w:r>
            <w:r>
              <w:rPr>
                <w:rFonts w:ascii="仿宋_GB2312" w:hAnsi="仿宋_GB2312" w:cs="仿宋_GB2312" w:eastAsia="仿宋_GB2312"/>
                <w:sz w:val="24"/>
                <w:color w:val="000000"/>
              </w:rPr>
              <w:t>为负责医院</w:t>
            </w:r>
            <w:r>
              <w:rPr>
                <w:rFonts w:ascii="仿宋_GB2312" w:hAnsi="仿宋_GB2312" w:cs="仿宋_GB2312" w:eastAsia="仿宋_GB2312"/>
                <w:sz w:val="24"/>
                <w:color w:val="000000"/>
              </w:rPr>
              <w:t>污水处理站的</w:t>
            </w:r>
            <w:r>
              <w:rPr>
                <w:rFonts w:ascii="仿宋_GB2312" w:hAnsi="仿宋_GB2312" w:cs="仿宋_GB2312" w:eastAsia="仿宋_GB2312"/>
                <w:sz w:val="24"/>
                <w:color w:val="000000"/>
              </w:rPr>
              <w:t>安全、规范</w:t>
            </w:r>
            <w:r>
              <w:rPr>
                <w:rFonts w:ascii="仿宋_GB2312" w:hAnsi="仿宋_GB2312" w:cs="仿宋_GB2312" w:eastAsia="仿宋_GB2312"/>
                <w:sz w:val="24"/>
                <w:color w:val="000000"/>
              </w:rPr>
              <w:t>运营，</w:t>
            </w:r>
            <w:r>
              <w:rPr>
                <w:rFonts w:ascii="仿宋_GB2312" w:hAnsi="仿宋_GB2312" w:cs="仿宋_GB2312" w:eastAsia="仿宋_GB2312"/>
                <w:sz w:val="24"/>
                <w:color w:val="000000"/>
              </w:rPr>
              <w:t>内容</w:t>
            </w:r>
            <w:r>
              <w:rPr>
                <w:rFonts w:ascii="仿宋_GB2312" w:hAnsi="仿宋_GB2312" w:cs="仿宋_GB2312" w:eastAsia="仿宋_GB2312"/>
                <w:sz w:val="24"/>
                <w:color w:val="000000"/>
              </w:rPr>
              <w:t>包括：</w:t>
            </w:r>
            <w:r>
              <w:rPr>
                <w:rFonts w:ascii="仿宋_GB2312" w:hAnsi="仿宋_GB2312" w:cs="仿宋_GB2312" w:eastAsia="仿宋_GB2312"/>
                <w:sz w:val="24"/>
                <w:color w:val="000000"/>
              </w:rPr>
              <w:t>污水站</w:t>
            </w:r>
            <w:r>
              <w:rPr>
                <w:rFonts w:ascii="仿宋_GB2312" w:hAnsi="仿宋_GB2312" w:cs="仿宋_GB2312" w:eastAsia="仿宋_GB2312"/>
                <w:sz w:val="24"/>
                <w:color w:val="000000"/>
              </w:rPr>
              <w:t>运行</w:t>
            </w:r>
            <w:r>
              <w:rPr>
                <w:rFonts w:ascii="仿宋_GB2312" w:hAnsi="仿宋_GB2312" w:cs="仿宋_GB2312" w:eastAsia="仿宋_GB2312"/>
                <w:sz w:val="24"/>
                <w:color w:val="000000"/>
              </w:rPr>
              <w:t>期间设施设备及人员</w:t>
            </w:r>
            <w:r>
              <w:rPr>
                <w:rFonts w:ascii="仿宋_GB2312" w:hAnsi="仿宋_GB2312" w:cs="仿宋_GB2312" w:eastAsia="仿宋_GB2312"/>
                <w:sz w:val="24"/>
                <w:color w:val="000000"/>
              </w:rPr>
              <w:t>管理</w:t>
            </w:r>
            <w:r>
              <w:rPr>
                <w:rFonts w:ascii="仿宋_GB2312" w:hAnsi="仿宋_GB2312" w:cs="仿宋_GB2312" w:eastAsia="仿宋_GB2312"/>
                <w:sz w:val="24"/>
                <w:color w:val="000000"/>
              </w:rPr>
              <w:t>，</w:t>
            </w:r>
            <w:r>
              <w:rPr>
                <w:rFonts w:ascii="仿宋_GB2312" w:hAnsi="仿宋_GB2312" w:cs="仿宋_GB2312" w:eastAsia="仿宋_GB2312"/>
                <w:sz w:val="24"/>
                <w:color w:val="000000"/>
              </w:rPr>
              <w:t>运营期间</w:t>
            </w:r>
            <w:r>
              <w:rPr>
                <w:rFonts w:ascii="仿宋_GB2312" w:hAnsi="仿宋_GB2312" w:cs="仿宋_GB2312" w:eastAsia="仿宋_GB2312"/>
                <w:sz w:val="24"/>
                <w:color w:val="000000"/>
              </w:rPr>
              <w:t>各类药品</w:t>
            </w:r>
            <w:r>
              <w:rPr>
                <w:rFonts w:ascii="仿宋_GB2312" w:hAnsi="仿宋_GB2312" w:cs="仿宋_GB2312" w:eastAsia="仿宋_GB2312"/>
                <w:sz w:val="24"/>
                <w:color w:val="000000"/>
              </w:rPr>
              <w:t>、</w:t>
            </w:r>
            <w:r>
              <w:rPr>
                <w:rFonts w:ascii="仿宋_GB2312" w:hAnsi="仿宋_GB2312" w:cs="仿宋_GB2312" w:eastAsia="仿宋_GB2312"/>
                <w:sz w:val="24"/>
                <w:color w:val="000000"/>
              </w:rPr>
              <w:t>辅材</w:t>
            </w:r>
            <w:r>
              <w:rPr>
                <w:rFonts w:ascii="仿宋_GB2312" w:hAnsi="仿宋_GB2312" w:cs="仿宋_GB2312" w:eastAsia="仿宋_GB2312"/>
                <w:sz w:val="24"/>
                <w:color w:val="000000"/>
              </w:rPr>
              <w:t>的</w:t>
            </w:r>
            <w:r>
              <w:rPr>
                <w:rFonts w:ascii="仿宋_GB2312" w:hAnsi="仿宋_GB2312" w:cs="仿宋_GB2312" w:eastAsia="仿宋_GB2312"/>
                <w:sz w:val="24"/>
                <w:color w:val="000000"/>
              </w:rPr>
              <w:t>购置</w:t>
            </w:r>
            <w:r>
              <w:rPr>
                <w:rFonts w:ascii="仿宋_GB2312" w:hAnsi="仿宋_GB2312" w:cs="仿宋_GB2312" w:eastAsia="仿宋_GB2312"/>
                <w:sz w:val="24"/>
                <w:color w:val="000000"/>
              </w:rPr>
              <w:t>，</w:t>
            </w:r>
            <w:r>
              <w:rPr>
                <w:rFonts w:ascii="仿宋_GB2312" w:hAnsi="仿宋_GB2312" w:cs="仿宋_GB2312" w:eastAsia="仿宋_GB2312"/>
                <w:sz w:val="24"/>
                <w:color w:val="000000"/>
              </w:rPr>
              <w:t>设备设施维修</w:t>
            </w:r>
            <w:r>
              <w:rPr>
                <w:rFonts w:ascii="仿宋_GB2312" w:hAnsi="仿宋_GB2312" w:cs="仿宋_GB2312" w:eastAsia="仿宋_GB2312"/>
                <w:sz w:val="24"/>
                <w:color w:val="000000"/>
              </w:rPr>
              <w:t>、</w:t>
            </w:r>
            <w:r>
              <w:rPr>
                <w:rFonts w:ascii="仿宋_GB2312" w:hAnsi="仿宋_GB2312" w:cs="仿宋_GB2312" w:eastAsia="仿宋_GB2312"/>
                <w:sz w:val="24"/>
                <w:color w:val="000000"/>
              </w:rPr>
              <w:t>保养</w:t>
            </w:r>
            <w:r>
              <w:rPr>
                <w:rFonts w:ascii="仿宋_GB2312" w:hAnsi="仿宋_GB2312" w:cs="仿宋_GB2312" w:eastAsia="仿宋_GB2312"/>
                <w:sz w:val="24"/>
                <w:color w:val="000000"/>
              </w:rPr>
              <w:t>及更新</w:t>
            </w:r>
            <w:r>
              <w:rPr>
                <w:rFonts w:ascii="仿宋_GB2312" w:hAnsi="仿宋_GB2312" w:cs="仿宋_GB2312" w:eastAsia="仿宋_GB2312"/>
                <w:sz w:val="24"/>
                <w:color w:val="000000"/>
              </w:rPr>
              <w:t>，</w:t>
            </w:r>
            <w:r>
              <w:rPr>
                <w:rFonts w:ascii="仿宋_GB2312" w:hAnsi="仿宋_GB2312" w:cs="仿宋_GB2312" w:eastAsia="仿宋_GB2312"/>
                <w:sz w:val="24"/>
                <w:color w:val="000000"/>
              </w:rPr>
              <w:t>设置并及时调整处理工艺确保</w:t>
            </w:r>
            <w:r>
              <w:rPr>
                <w:rFonts w:ascii="仿宋_GB2312" w:hAnsi="仿宋_GB2312" w:cs="仿宋_GB2312" w:eastAsia="仿宋_GB2312"/>
                <w:sz w:val="24"/>
                <w:color w:val="000000"/>
              </w:rPr>
              <w:t>水质达标排放并符合国家、地方环保标准</w:t>
            </w:r>
            <w:r>
              <w:rPr>
                <w:rFonts w:ascii="仿宋_GB2312" w:hAnsi="仿宋_GB2312" w:cs="仿宋_GB2312" w:eastAsia="仿宋_GB2312"/>
                <w:sz w:val="24"/>
                <w:color w:val="000000"/>
              </w:rPr>
              <w:t>，</w:t>
            </w:r>
            <w:r>
              <w:rPr>
                <w:rFonts w:ascii="仿宋_GB2312" w:hAnsi="仿宋_GB2312" w:cs="仿宋_GB2312" w:eastAsia="仿宋_GB2312"/>
                <w:sz w:val="24"/>
                <w:color w:val="000000"/>
              </w:rPr>
              <w:t>相关废物的处置</w:t>
            </w:r>
            <w:r>
              <w:rPr>
                <w:rFonts w:ascii="仿宋_GB2312" w:hAnsi="仿宋_GB2312" w:cs="仿宋_GB2312" w:eastAsia="仿宋_GB2312"/>
                <w:sz w:val="24"/>
                <w:color w:val="000000"/>
              </w:rPr>
              <w:t>；</w:t>
            </w:r>
            <w:r>
              <w:rPr>
                <w:rFonts w:ascii="仿宋_GB2312" w:hAnsi="仿宋_GB2312" w:cs="仿宋_GB2312" w:eastAsia="仿宋_GB2312"/>
                <w:sz w:val="24"/>
                <w:color w:val="000000"/>
              </w:rPr>
              <w:t>配合国家、地方、政府部门及院方的各类检查，按照环保主管部门要求</w:t>
            </w:r>
            <w:r>
              <w:rPr>
                <w:rFonts w:ascii="仿宋_GB2312" w:hAnsi="仿宋_GB2312" w:cs="仿宋_GB2312" w:eastAsia="仿宋_GB2312"/>
                <w:sz w:val="24"/>
                <w:color w:val="000000"/>
              </w:rPr>
              <w:t>及文件规范制定</w:t>
            </w:r>
            <w:r>
              <w:rPr>
                <w:rFonts w:ascii="仿宋_GB2312" w:hAnsi="仿宋_GB2312" w:cs="仿宋_GB2312" w:eastAsia="仿宋_GB2312"/>
                <w:sz w:val="24"/>
                <w:color w:val="000000"/>
              </w:rPr>
              <w:t>运行</w:t>
            </w:r>
            <w:r>
              <w:rPr>
                <w:rFonts w:ascii="仿宋_GB2312" w:hAnsi="仿宋_GB2312" w:cs="仿宋_GB2312" w:eastAsia="仿宋_GB2312"/>
                <w:sz w:val="24"/>
                <w:color w:val="000000"/>
              </w:rPr>
              <w:t>管理制度、预案（包括但不限于</w:t>
            </w:r>
            <w:r>
              <w:rPr>
                <w:rFonts w:ascii="仿宋_GB2312" w:hAnsi="仿宋_GB2312" w:cs="仿宋_GB2312" w:eastAsia="仿宋_GB2312"/>
                <w:sz w:val="24"/>
                <w:color w:val="000000"/>
              </w:rPr>
              <w:t>运营服务规章、岗位职责、操作规范、</w:t>
            </w:r>
            <w:r>
              <w:rPr>
                <w:rFonts w:ascii="仿宋_GB2312" w:hAnsi="仿宋_GB2312" w:cs="仿宋_GB2312" w:eastAsia="仿宋_GB2312"/>
                <w:sz w:val="24"/>
                <w:color w:val="000000"/>
              </w:rPr>
              <w:t>运维手册</w:t>
            </w:r>
            <w:r>
              <w:rPr>
                <w:rFonts w:ascii="仿宋_GB2312" w:hAnsi="仿宋_GB2312" w:cs="仿宋_GB2312" w:eastAsia="仿宋_GB2312"/>
                <w:sz w:val="24"/>
                <w:color w:val="000000"/>
              </w:rPr>
              <w:t>、应急预案、风险控制、安全管理</w:t>
            </w:r>
            <w:r>
              <w:rPr>
                <w:rFonts w:ascii="仿宋_GB2312" w:hAnsi="仿宋_GB2312" w:cs="仿宋_GB2312" w:eastAsia="仿宋_GB2312"/>
                <w:sz w:val="24"/>
                <w:color w:val="000000"/>
              </w:rPr>
              <w:t>、</w:t>
            </w:r>
            <w:r>
              <w:rPr>
                <w:rFonts w:ascii="仿宋_GB2312" w:hAnsi="仿宋_GB2312" w:cs="仿宋_GB2312" w:eastAsia="仿宋_GB2312"/>
                <w:sz w:val="24"/>
                <w:color w:val="000000"/>
              </w:rPr>
              <w:t>档案管理）</w:t>
            </w:r>
            <w:r>
              <w:rPr>
                <w:rFonts w:ascii="仿宋_GB2312" w:hAnsi="仿宋_GB2312" w:cs="仿宋_GB2312" w:eastAsia="仿宋_GB2312"/>
                <w:sz w:val="24"/>
                <w:color w:val="000000"/>
              </w:rPr>
              <w:t>，</w:t>
            </w:r>
            <w:r>
              <w:rPr>
                <w:rFonts w:ascii="仿宋_GB2312" w:hAnsi="仿宋_GB2312" w:cs="仿宋_GB2312" w:eastAsia="仿宋_GB2312"/>
                <w:sz w:val="24"/>
                <w:color w:val="000000"/>
              </w:rPr>
              <w:t>做好运营期间各类纸质及电子记录、台账、档案，负责为医院在国家排污许可证管理信息平台、陕西省环境信息披露平台等政府要求的监管平台及时上报信息，为医院提供水处理、排放过程中相关证照办理变更的咨询、上报、办理等服务</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2.供应商负责污水处理过程中所有添加药剂的采购，</w:t>
            </w:r>
            <w:r>
              <w:rPr>
                <w:rFonts w:ascii="仿宋_GB2312" w:hAnsi="仿宋_GB2312" w:cs="仿宋_GB2312" w:eastAsia="仿宋_GB2312"/>
                <w:sz w:val="24"/>
                <w:color w:val="000000"/>
              </w:rPr>
              <w:t>并根据污水排放量</w:t>
            </w:r>
            <w:r>
              <w:rPr>
                <w:rFonts w:ascii="仿宋_GB2312" w:hAnsi="仿宋_GB2312" w:cs="仿宋_GB2312" w:eastAsia="仿宋_GB2312"/>
                <w:sz w:val="24"/>
                <w:color w:val="000000"/>
              </w:rPr>
              <w:t>及实际水质情况</w:t>
            </w:r>
            <w:r>
              <w:rPr>
                <w:rFonts w:ascii="仿宋_GB2312" w:hAnsi="仿宋_GB2312" w:cs="仿宋_GB2312" w:eastAsia="仿宋_GB2312"/>
                <w:sz w:val="24"/>
                <w:color w:val="000000"/>
              </w:rPr>
              <w:t>，及时进行调整</w:t>
            </w:r>
            <w:r>
              <w:rPr>
                <w:rFonts w:ascii="仿宋_GB2312" w:hAnsi="仿宋_GB2312" w:cs="仿宋_GB2312" w:eastAsia="仿宋_GB2312"/>
                <w:sz w:val="24"/>
                <w:color w:val="000000"/>
              </w:rPr>
              <w:t>方案确保水质达标排放</w:t>
            </w:r>
            <w:r>
              <w:rPr>
                <w:rFonts w:ascii="仿宋_GB2312" w:hAnsi="仿宋_GB2312" w:cs="仿宋_GB2312" w:eastAsia="仿宋_GB2312"/>
                <w:sz w:val="24"/>
                <w:color w:val="000000"/>
              </w:rPr>
              <w:t>。制定完善的药品</w:t>
            </w:r>
            <w:r>
              <w:rPr>
                <w:rFonts w:ascii="仿宋_GB2312" w:hAnsi="仿宋_GB2312" w:cs="仿宋_GB2312" w:eastAsia="仿宋_GB2312"/>
                <w:sz w:val="24"/>
                <w:color w:val="000000"/>
              </w:rPr>
              <w:t>管理、使用、登记</w:t>
            </w:r>
            <w:r>
              <w:rPr>
                <w:rFonts w:ascii="仿宋_GB2312" w:hAnsi="仿宋_GB2312" w:cs="仿宋_GB2312" w:eastAsia="仿宋_GB2312"/>
                <w:sz w:val="24"/>
                <w:color w:val="000000"/>
              </w:rPr>
              <w:t>制度</w:t>
            </w:r>
            <w:r>
              <w:rPr>
                <w:rFonts w:ascii="仿宋_GB2312" w:hAnsi="仿宋_GB2312" w:cs="仿宋_GB2312" w:eastAsia="仿宋_GB2312"/>
                <w:sz w:val="24"/>
                <w:color w:val="000000"/>
              </w:rPr>
              <w:t>并制定</w:t>
            </w:r>
            <w:r>
              <w:rPr>
                <w:rFonts w:ascii="仿宋_GB2312" w:hAnsi="仿宋_GB2312" w:cs="仿宋_GB2312" w:eastAsia="仿宋_GB2312"/>
                <w:sz w:val="24"/>
                <w:color w:val="000000"/>
              </w:rPr>
              <w:t>应急预案</w:t>
            </w:r>
            <w:r>
              <w:rPr>
                <w:rFonts w:ascii="仿宋_GB2312" w:hAnsi="仿宋_GB2312" w:cs="仿宋_GB2312" w:eastAsia="仿宋_GB2312"/>
                <w:sz w:val="24"/>
                <w:color w:val="000000"/>
              </w:rPr>
              <w:t>，</w:t>
            </w:r>
            <w:r>
              <w:rPr>
                <w:rFonts w:ascii="仿宋_GB2312" w:hAnsi="仿宋_GB2312" w:cs="仿宋_GB2312" w:eastAsia="仿宋_GB2312"/>
                <w:sz w:val="24"/>
                <w:color w:val="000000"/>
              </w:rPr>
              <w:t>并按照地方监管机构要求做好管理运行</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污水处理站要求设备机房</w:t>
            </w:r>
            <w:r>
              <w:rPr>
                <w:rFonts w:ascii="仿宋_GB2312" w:hAnsi="仿宋_GB2312" w:cs="仿宋_GB2312" w:eastAsia="仿宋_GB2312"/>
                <w:sz w:val="24"/>
                <w:color w:val="000000"/>
              </w:rPr>
              <w:t>365天×24小时（全年无休息日）有人值守，且夜班人员至少2人值守。值班电话24小时畅通，运营公司项目负责人通讯方式24小时畅通。人员编制不少于7人，1名站长，6名运营工（且有安全管理员和维修人员）。工作人员要求有国家承认的污水处理上岗证。</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应按照招标要求配备足量工作人员保证</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项目正常开展</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应优先解决医院</w:t>
            </w:r>
            <w:r>
              <w:rPr>
                <w:rFonts w:ascii="仿宋_GB2312" w:hAnsi="仿宋_GB2312" w:cs="仿宋_GB2312" w:eastAsia="仿宋_GB2312"/>
                <w:sz w:val="24"/>
                <w:color w:val="000000"/>
              </w:rPr>
              <w:t>提出的具备操作</w:t>
            </w:r>
            <w:r>
              <w:rPr>
                <w:rFonts w:ascii="仿宋_GB2312" w:hAnsi="仿宋_GB2312" w:cs="仿宋_GB2312" w:eastAsia="仿宋_GB2312"/>
                <w:sz w:val="24"/>
                <w:color w:val="000000"/>
              </w:rPr>
              <w:t>经验的</w:t>
            </w:r>
            <w:r>
              <w:rPr>
                <w:rFonts w:ascii="仿宋_GB2312" w:hAnsi="仿宋_GB2312" w:cs="仿宋_GB2312" w:eastAsia="仿宋_GB2312"/>
                <w:sz w:val="24"/>
                <w:color w:val="000000"/>
              </w:rPr>
              <w:t>工作</w:t>
            </w:r>
            <w:r>
              <w:rPr>
                <w:rFonts w:ascii="仿宋_GB2312" w:hAnsi="仿宋_GB2312" w:cs="仿宋_GB2312" w:eastAsia="仿宋_GB2312"/>
                <w:sz w:val="24"/>
                <w:color w:val="000000"/>
              </w:rPr>
              <w:t>人员</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负责污水处理站日常运行、管理、维护等工作，按</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要求对污水站内所有设备运行状态进行巡视并做记录，按国家规定对</w:t>
            </w:r>
            <w:r>
              <w:rPr>
                <w:rFonts w:ascii="仿宋_GB2312" w:hAnsi="仿宋_GB2312" w:cs="仿宋_GB2312" w:eastAsia="仿宋_GB2312"/>
                <w:sz w:val="24"/>
                <w:color w:val="000000"/>
              </w:rPr>
              <w:t>ph值及</w:t>
            </w:r>
            <w:r>
              <w:rPr>
                <w:rFonts w:ascii="仿宋_GB2312" w:hAnsi="仿宋_GB2312" w:cs="仿宋_GB2312" w:eastAsia="仿宋_GB2312"/>
                <w:sz w:val="24"/>
                <w:color w:val="000000"/>
              </w:rPr>
              <w:t>余氯值进行</w:t>
            </w:r>
            <w:r>
              <w:rPr>
                <w:rFonts w:ascii="仿宋_GB2312" w:hAnsi="仿宋_GB2312" w:cs="仿宋_GB2312" w:eastAsia="仿宋_GB2312"/>
                <w:sz w:val="24"/>
                <w:color w:val="000000"/>
              </w:rPr>
              <w:t>每日监测</w:t>
            </w:r>
            <w:r>
              <w:rPr>
                <w:rFonts w:ascii="仿宋_GB2312" w:hAnsi="仿宋_GB2312" w:cs="仿宋_GB2312" w:eastAsia="仿宋_GB2312"/>
                <w:sz w:val="24"/>
                <w:color w:val="000000"/>
              </w:rPr>
              <w:t>，按照环保部门要求每天进行污水站水质的手动自监测</w:t>
            </w:r>
            <w:r>
              <w:rPr>
                <w:rFonts w:ascii="仿宋_GB2312" w:hAnsi="仿宋_GB2312" w:cs="仿宋_GB2312" w:eastAsia="仿宋_GB2312"/>
                <w:sz w:val="24"/>
                <w:color w:val="000000"/>
              </w:rPr>
              <w:t>，</w:t>
            </w:r>
            <w:r>
              <w:rPr>
                <w:rFonts w:ascii="仿宋_GB2312" w:hAnsi="仿宋_GB2312" w:cs="仿宋_GB2312" w:eastAsia="仿宋_GB2312"/>
                <w:sz w:val="24"/>
                <w:color w:val="000000"/>
              </w:rPr>
              <w:t>发现问题及时上报医院有关主管部门并按运营公司制定的预案进行处理解决，制定制度及预案。</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出现问题或突发情况时，驻站人员应随时做出响应，</w:t>
            </w:r>
            <w:r>
              <w:rPr>
                <w:rFonts w:ascii="仿宋_GB2312" w:hAnsi="仿宋_GB2312" w:cs="仿宋_GB2312" w:eastAsia="仿宋_GB2312"/>
                <w:sz w:val="24"/>
                <w:color w:val="000000"/>
              </w:rPr>
              <w:t>1小时内提供解决方案，</w:t>
            </w:r>
            <w:r>
              <w:rPr>
                <w:rFonts w:ascii="仿宋_GB2312" w:hAnsi="仿宋_GB2312" w:cs="仿宋_GB2312" w:eastAsia="仿宋_GB2312"/>
                <w:sz w:val="24"/>
                <w:color w:val="000000"/>
              </w:rPr>
              <w:t>2</w:t>
            </w:r>
            <w:r>
              <w:rPr>
                <w:rFonts w:ascii="仿宋_GB2312" w:hAnsi="仿宋_GB2312" w:cs="仿宋_GB2312" w:eastAsia="仿宋_GB2312"/>
                <w:sz w:val="24"/>
                <w:color w:val="000000"/>
              </w:rPr>
              <w:t>小时解决问题或有效控制突发情况。</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负责污水处理站可靠安全运行及维修工作及相关设备的维保</w:t>
            </w:r>
            <w:r>
              <w:rPr>
                <w:rFonts w:ascii="仿宋_GB2312" w:hAnsi="仿宋_GB2312" w:cs="仿宋_GB2312" w:eastAsia="仿宋_GB2312"/>
                <w:sz w:val="24"/>
                <w:color w:val="000000"/>
              </w:rPr>
              <w:t>、</w:t>
            </w:r>
            <w:r>
              <w:rPr>
                <w:rFonts w:ascii="仿宋_GB2312" w:hAnsi="仿宋_GB2312" w:cs="仿宋_GB2312" w:eastAsia="仿宋_GB2312"/>
                <w:sz w:val="24"/>
                <w:color w:val="000000"/>
              </w:rPr>
              <w:t>维修</w:t>
            </w:r>
            <w:r>
              <w:rPr>
                <w:rFonts w:ascii="仿宋_GB2312" w:hAnsi="仿宋_GB2312" w:cs="仿宋_GB2312" w:eastAsia="仿宋_GB2312"/>
                <w:sz w:val="24"/>
                <w:color w:val="000000"/>
              </w:rPr>
              <w:t>及更换</w:t>
            </w:r>
            <w:r>
              <w:rPr>
                <w:rFonts w:ascii="仿宋_GB2312" w:hAnsi="仿宋_GB2312" w:cs="仿宋_GB2312" w:eastAsia="仿宋_GB2312"/>
                <w:sz w:val="24"/>
                <w:color w:val="000000"/>
              </w:rPr>
              <w:t>工作</w:t>
            </w:r>
            <w:r>
              <w:rPr>
                <w:rFonts w:ascii="仿宋_GB2312" w:hAnsi="仿宋_GB2312" w:cs="仿宋_GB2312" w:eastAsia="仿宋_GB2312"/>
                <w:sz w:val="24"/>
                <w:color w:val="000000"/>
              </w:rPr>
              <w:t>，</w:t>
            </w:r>
            <w:r>
              <w:rPr>
                <w:rFonts w:ascii="仿宋_GB2312" w:hAnsi="仿宋_GB2312" w:cs="仿宋_GB2312" w:eastAsia="仿宋_GB2312"/>
                <w:sz w:val="24"/>
                <w:color w:val="000000"/>
              </w:rPr>
              <w:t>制作各类标识标牌</w:t>
            </w:r>
            <w:r>
              <w:rPr>
                <w:rFonts w:ascii="仿宋_GB2312" w:hAnsi="仿宋_GB2312" w:cs="仿宋_GB2312" w:eastAsia="仿宋_GB2312"/>
                <w:sz w:val="24"/>
                <w:color w:val="000000"/>
              </w:rPr>
              <w:t>，</w:t>
            </w:r>
            <w:r>
              <w:rPr>
                <w:rFonts w:ascii="仿宋_GB2312" w:hAnsi="仿宋_GB2312" w:cs="仿宋_GB2312" w:eastAsia="仿宋_GB2312"/>
                <w:sz w:val="24"/>
                <w:color w:val="000000"/>
              </w:rPr>
              <w:t>污水站中</w:t>
            </w:r>
            <w:r>
              <w:rPr>
                <w:rFonts w:ascii="仿宋_GB2312" w:hAnsi="仿宋_GB2312" w:cs="仿宋_GB2312" w:eastAsia="仿宋_GB2312"/>
                <w:sz w:val="24"/>
                <w:color w:val="000000"/>
              </w:rPr>
              <w:t>2500元以内的设施、设备、配件、易耗品等，由供应商免费更换</w:t>
            </w:r>
            <w:r>
              <w:rPr>
                <w:rFonts w:ascii="仿宋_GB2312" w:hAnsi="仿宋_GB2312" w:cs="仿宋_GB2312" w:eastAsia="仿宋_GB2312"/>
                <w:sz w:val="24"/>
                <w:color w:val="000000"/>
              </w:rPr>
              <w:t>。</w:t>
            </w:r>
            <w:r>
              <w:rPr>
                <w:rFonts w:ascii="仿宋_GB2312" w:hAnsi="仿宋_GB2312" w:cs="仿宋_GB2312" w:eastAsia="仿宋_GB2312"/>
                <w:sz w:val="24"/>
                <w:color w:val="000000"/>
              </w:rPr>
              <w:t>成交供应商运营污水站期间需</w:t>
            </w:r>
            <w:r>
              <w:rPr>
                <w:rFonts w:ascii="仿宋_GB2312" w:hAnsi="仿宋_GB2312" w:cs="仿宋_GB2312" w:eastAsia="仿宋_GB2312"/>
                <w:sz w:val="24"/>
                <w:color w:val="000000"/>
              </w:rPr>
              <w:t>制定设备维护保养制度</w:t>
            </w:r>
            <w:r>
              <w:rPr>
                <w:rFonts w:ascii="仿宋_GB2312" w:hAnsi="仿宋_GB2312" w:cs="仿宋_GB2312" w:eastAsia="仿宋_GB2312"/>
                <w:sz w:val="24"/>
                <w:color w:val="000000"/>
              </w:rPr>
              <w:t>、</w:t>
            </w:r>
            <w:r>
              <w:rPr>
                <w:rFonts w:ascii="仿宋_GB2312" w:hAnsi="仿宋_GB2312" w:cs="仿宋_GB2312" w:eastAsia="仿宋_GB2312"/>
                <w:sz w:val="24"/>
                <w:color w:val="000000"/>
              </w:rPr>
              <w:t>设施</w:t>
            </w:r>
            <w:r>
              <w:rPr>
                <w:rFonts w:ascii="仿宋_GB2312" w:hAnsi="仿宋_GB2312" w:cs="仿宋_GB2312" w:eastAsia="仿宋_GB2312"/>
                <w:sz w:val="24"/>
                <w:color w:val="000000"/>
              </w:rPr>
              <w:t>设备更新计划</w:t>
            </w:r>
            <w:r>
              <w:rPr>
                <w:rFonts w:ascii="仿宋_GB2312" w:hAnsi="仿宋_GB2312" w:cs="仿宋_GB2312" w:eastAsia="仿宋_GB2312"/>
                <w:sz w:val="24"/>
                <w:color w:val="000000"/>
              </w:rPr>
              <w:t>与应急预案，做好相关设备、配件的储备，设施设备故障需</w:t>
            </w:r>
            <w:r>
              <w:rPr>
                <w:rFonts w:ascii="仿宋_GB2312" w:hAnsi="仿宋_GB2312" w:cs="仿宋_GB2312" w:eastAsia="仿宋_GB2312"/>
                <w:sz w:val="24"/>
                <w:color w:val="000000"/>
              </w:rPr>
              <w:t>及时更换</w:t>
            </w:r>
            <w:r>
              <w:rPr>
                <w:rFonts w:ascii="仿宋_GB2312" w:hAnsi="仿宋_GB2312" w:cs="仿宋_GB2312" w:eastAsia="仿宋_GB2312"/>
                <w:sz w:val="24"/>
                <w:color w:val="000000"/>
              </w:rPr>
              <w:t>维修，且更换维修作业不得影响污水站正常运行</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负责制定医院污水处理站运营管理服务及附属设备、安全附件等设备的检修、检验、保养</w:t>
            </w:r>
            <w:r>
              <w:rPr>
                <w:rFonts w:ascii="仿宋_GB2312" w:hAnsi="仿宋_GB2312" w:cs="仿宋_GB2312" w:eastAsia="仿宋_GB2312"/>
                <w:sz w:val="24"/>
                <w:color w:val="000000"/>
              </w:rPr>
              <w:t>、</w:t>
            </w:r>
            <w:r>
              <w:rPr>
                <w:rFonts w:ascii="仿宋_GB2312" w:hAnsi="仿宋_GB2312" w:cs="仿宋_GB2312" w:eastAsia="仿宋_GB2312"/>
                <w:sz w:val="24"/>
                <w:color w:val="000000"/>
              </w:rPr>
              <w:t>更换</w:t>
            </w:r>
            <w:r>
              <w:rPr>
                <w:rFonts w:ascii="仿宋_GB2312" w:hAnsi="仿宋_GB2312" w:cs="仿宋_GB2312" w:eastAsia="仿宋_GB2312"/>
                <w:sz w:val="24"/>
                <w:color w:val="000000"/>
              </w:rPr>
              <w:t>维修计划及台账，并报医院相关部门备案。负责建立、健全设备、巡检、加药</w:t>
            </w:r>
            <w:r>
              <w:rPr>
                <w:rFonts w:ascii="仿宋_GB2312" w:hAnsi="仿宋_GB2312" w:cs="仿宋_GB2312" w:eastAsia="仿宋_GB2312"/>
                <w:sz w:val="24"/>
                <w:color w:val="000000"/>
              </w:rPr>
              <w:t>、</w:t>
            </w:r>
            <w:r>
              <w:rPr>
                <w:rFonts w:ascii="仿宋_GB2312" w:hAnsi="仿宋_GB2312" w:cs="仿宋_GB2312" w:eastAsia="仿宋_GB2312"/>
                <w:sz w:val="24"/>
                <w:color w:val="000000"/>
              </w:rPr>
              <w:t>监测等运行</w:t>
            </w:r>
            <w:r>
              <w:rPr>
                <w:rFonts w:ascii="仿宋_GB2312" w:hAnsi="仿宋_GB2312" w:cs="仿宋_GB2312" w:eastAsia="仿宋_GB2312"/>
                <w:sz w:val="24"/>
                <w:color w:val="000000"/>
              </w:rPr>
              <w:t>档案，收集、整理和完善技术资料并进行建立</w:t>
            </w:r>
            <w:r>
              <w:rPr>
                <w:rFonts w:ascii="仿宋_GB2312" w:hAnsi="仿宋_GB2312" w:cs="仿宋_GB2312" w:eastAsia="仿宋_GB2312"/>
                <w:sz w:val="24"/>
                <w:color w:val="000000"/>
              </w:rPr>
              <w:t>相关</w:t>
            </w:r>
            <w:r>
              <w:rPr>
                <w:rFonts w:ascii="仿宋_GB2312" w:hAnsi="仿宋_GB2312" w:cs="仿宋_GB2312" w:eastAsia="仿宋_GB2312"/>
                <w:sz w:val="24"/>
                <w:color w:val="000000"/>
              </w:rPr>
              <w:t>电子档案。</w:t>
            </w:r>
          </w:p>
          <w:p>
            <w:pPr>
              <w:pStyle w:val="null3"/>
              <w:ind w:firstLine="480"/>
              <w:jc w:val="both"/>
            </w:pPr>
            <w:r>
              <w:rPr>
                <w:rFonts w:ascii="仿宋_GB2312" w:hAnsi="仿宋_GB2312" w:cs="仿宋_GB2312" w:eastAsia="仿宋_GB2312"/>
                <w:sz w:val="24"/>
                <w:color w:val="000000"/>
              </w:rPr>
              <w:t>负责为医院在国家排污许可证管理信息平台、陕西省环境信息披露平台等政府要求的监管平台上报信息，为医院提供水处理、排放过程中相关证照办理变更的咨询、上报、办理等服务。</w:t>
            </w:r>
          </w:p>
          <w:p>
            <w:pPr>
              <w:pStyle w:val="null3"/>
              <w:ind w:firstLine="480"/>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合理安排人力、物力，认真组织实施和执行制定的有关污水处理站检修计划。运营服务人员需定期正式培训，并持有有效的污水处理工上岗证方可上岗工作。</w:t>
            </w:r>
          </w:p>
          <w:p>
            <w:pPr>
              <w:pStyle w:val="null3"/>
              <w:ind w:firstLine="48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污水站</w:t>
            </w:r>
            <w:r>
              <w:rPr>
                <w:rFonts w:ascii="仿宋_GB2312" w:hAnsi="仿宋_GB2312" w:cs="仿宋_GB2312" w:eastAsia="仿宋_GB2312"/>
                <w:sz w:val="24"/>
                <w:color w:val="000000"/>
              </w:rPr>
              <w:t>运行期间</w:t>
            </w:r>
            <w:r>
              <w:rPr>
                <w:rFonts w:ascii="仿宋_GB2312" w:hAnsi="仿宋_GB2312" w:cs="仿宋_GB2312" w:eastAsia="仿宋_GB2312"/>
                <w:sz w:val="24"/>
                <w:color w:val="000000"/>
              </w:rPr>
              <w:t>污水站产生的相关废物需合规</w:t>
            </w:r>
            <w:r>
              <w:rPr>
                <w:rFonts w:ascii="仿宋_GB2312" w:hAnsi="仿宋_GB2312" w:cs="仿宋_GB2312" w:eastAsia="仿宋_GB2312"/>
                <w:sz w:val="24"/>
                <w:color w:val="000000"/>
              </w:rPr>
              <w:t>处理；污</w:t>
            </w:r>
            <w:r>
              <w:rPr>
                <w:rFonts w:ascii="仿宋_GB2312" w:hAnsi="仿宋_GB2312" w:cs="仿宋_GB2312" w:eastAsia="仿宋_GB2312"/>
                <w:sz w:val="24"/>
                <w:color w:val="000000"/>
              </w:rPr>
              <w:t>水站</w:t>
            </w:r>
            <w:r>
              <w:rPr>
                <w:rFonts w:ascii="仿宋_GB2312" w:hAnsi="仿宋_GB2312" w:cs="仿宋_GB2312" w:eastAsia="仿宋_GB2312"/>
                <w:sz w:val="24"/>
                <w:color w:val="000000"/>
              </w:rPr>
              <w:t>水池</w:t>
            </w:r>
            <w:r>
              <w:rPr>
                <w:rFonts w:ascii="仿宋_GB2312" w:hAnsi="仿宋_GB2312" w:cs="仿宋_GB2312" w:eastAsia="仿宋_GB2312"/>
                <w:sz w:val="24"/>
                <w:color w:val="000000"/>
              </w:rPr>
              <w:t>需及时</w:t>
            </w:r>
            <w:r>
              <w:rPr>
                <w:rFonts w:ascii="仿宋_GB2312" w:hAnsi="仿宋_GB2312" w:cs="仿宋_GB2312" w:eastAsia="仿宋_GB2312"/>
                <w:sz w:val="24"/>
                <w:color w:val="000000"/>
              </w:rPr>
              <w:t>清理，每</w:t>
            </w:r>
            <w:r>
              <w:rPr>
                <w:rFonts w:ascii="仿宋_GB2312" w:hAnsi="仿宋_GB2312" w:cs="仿宋_GB2312" w:eastAsia="仿宋_GB2312"/>
                <w:sz w:val="24"/>
                <w:color w:val="000000"/>
              </w:rPr>
              <w:t>月</w:t>
            </w:r>
            <w:r>
              <w:rPr>
                <w:rFonts w:ascii="仿宋_GB2312" w:hAnsi="仿宋_GB2312" w:cs="仿宋_GB2312" w:eastAsia="仿宋_GB2312"/>
                <w:sz w:val="24"/>
                <w:color w:val="000000"/>
              </w:rPr>
              <w:t>至少</w:t>
            </w:r>
            <w:r>
              <w:rPr>
                <w:rFonts w:ascii="仿宋_GB2312" w:hAnsi="仿宋_GB2312" w:cs="仿宋_GB2312" w:eastAsia="仿宋_GB2312"/>
                <w:sz w:val="24"/>
                <w:color w:val="000000"/>
              </w:rPr>
              <w:t>一</w:t>
            </w:r>
            <w:r>
              <w:rPr>
                <w:rFonts w:ascii="仿宋_GB2312" w:hAnsi="仿宋_GB2312" w:cs="仿宋_GB2312" w:eastAsia="仿宋_GB2312"/>
                <w:sz w:val="24"/>
                <w:color w:val="000000"/>
              </w:rPr>
              <w:t>次，清理出的污泥、漂浮物，</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统一</w:t>
            </w:r>
            <w:r>
              <w:rPr>
                <w:rFonts w:ascii="仿宋_GB2312" w:hAnsi="仿宋_GB2312" w:cs="仿宋_GB2312" w:eastAsia="仿宋_GB2312"/>
                <w:sz w:val="24"/>
                <w:color w:val="000000"/>
              </w:rPr>
              <w:t>按国家环保要求进行</w:t>
            </w:r>
            <w:r>
              <w:rPr>
                <w:rFonts w:ascii="仿宋_GB2312" w:hAnsi="仿宋_GB2312" w:cs="仿宋_GB2312" w:eastAsia="仿宋_GB2312"/>
                <w:sz w:val="24"/>
                <w:color w:val="000000"/>
              </w:rPr>
              <w:t>处理。</w:t>
            </w:r>
            <w:r>
              <w:rPr>
                <w:rFonts w:ascii="仿宋_GB2312" w:hAnsi="仿宋_GB2312" w:cs="仿宋_GB2312" w:eastAsia="仿宋_GB2312"/>
                <w:sz w:val="24"/>
                <w:color w:val="000000"/>
              </w:rPr>
              <w:t>成交供应商负责</w:t>
            </w:r>
            <w:r>
              <w:rPr>
                <w:rFonts w:ascii="仿宋_GB2312" w:hAnsi="仿宋_GB2312" w:cs="仿宋_GB2312" w:eastAsia="仿宋_GB2312"/>
                <w:sz w:val="24"/>
                <w:color w:val="000000"/>
              </w:rPr>
              <w:t>污泥清掏、压榨、上药处理</w:t>
            </w:r>
            <w:r>
              <w:rPr>
                <w:rFonts w:ascii="仿宋_GB2312" w:hAnsi="仿宋_GB2312" w:cs="仿宋_GB2312" w:eastAsia="仿宋_GB2312"/>
                <w:sz w:val="24"/>
                <w:color w:val="000000"/>
              </w:rPr>
              <w:t>，</w:t>
            </w:r>
            <w:r>
              <w:rPr>
                <w:rFonts w:ascii="仿宋_GB2312" w:hAnsi="仿宋_GB2312" w:cs="仿宋_GB2312" w:eastAsia="仿宋_GB2312"/>
                <w:sz w:val="24"/>
                <w:color w:val="000000"/>
              </w:rPr>
              <w:t>并提供检合规检测报告</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10.</w:t>
            </w:r>
            <w:r>
              <w:rPr>
                <w:rFonts w:ascii="仿宋_GB2312" w:hAnsi="仿宋_GB2312" w:cs="仿宋_GB2312" w:eastAsia="仿宋_GB2312"/>
                <w:sz w:val="24"/>
                <w:color w:val="000000"/>
              </w:rPr>
              <w:t>接受环保主管部门检查及相关整改要求配合整改；负责保存环保局、水务局、疾控中心等相关机构来站的检查记录，并将检查指出的问题和要求积极整改，建立档案，以备后查，并及时上报甲方。</w:t>
            </w:r>
          </w:p>
          <w:p>
            <w:pPr>
              <w:pStyle w:val="null3"/>
              <w:ind w:firstLine="480"/>
              <w:jc w:val="both"/>
            </w:pPr>
            <w:r>
              <w:rPr>
                <w:rFonts w:ascii="仿宋_GB2312" w:hAnsi="仿宋_GB2312" w:cs="仿宋_GB2312" w:eastAsia="仿宋_GB2312"/>
                <w:sz w:val="24"/>
                <w:color w:val="000000"/>
              </w:rPr>
              <w:t>11.</w:t>
            </w:r>
            <w:r>
              <w:rPr>
                <w:rFonts w:ascii="仿宋_GB2312" w:hAnsi="仿宋_GB2312" w:cs="仿宋_GB2312" w:eastAsia="仿宋_GB2312"/>
                <w:sz w:val="24"/>
                <w:color w:val="000000"/>
              </w:rPr>
              <w:t>合同期内，</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如需提前终止合同，应提前六个月通知甲方，经甲方书面同意的，</w:t>
            </w:r>
            <w:r>
              <w:rPr>
                <w:rFonts w:ascii="仿宋_GB2312" w:hAnsi="仿宋_GB2312" w:cs="仿宋_GB2312" w:eastAsia="仿宋_GB2312"/>
                <w:sz w:val="24"/>
                <w:color w:val="000000"/>
              </w:rPr>
              <w:t>成交供应商</w:t>
            </w:r>
            <w:r>
              <w:rPr>
                <w:rFonts w:ascii="仿宋_GB2312" w:hAnsi="仿宋_GB2312" w:cs="仿宋_GB2312" w:eastAsia="仿宋_GB2312"/>
                <w:sz w:val="24"/>
                <w:color w:val="000000"/>
              </w:rPr>
              <w:t>除应退还甲方已支付但仍未发生的费用</w:t>
            </w:r>
            <w:r>
              <w:rPr>
                <w:rFonts w:ascii="仿宋_GB2312" w:hAnsi="仿宋_GB2312" w:cs="仿宋_GB2312" w:eastAsia="仿宋_GB2312"/>
                <w:sz w:val="24"/>
                <w:color w:val="000000"/>
              </w:rPr>
              <w:t>外，还应向</w:t>
            </w:r>
            <w:r>
              <w:rPr>
                <w:rFonts w:ascii="仿宋_GB2312" w:hAnsi="仿宋_GB2312" w:cs="仿宋_GB2312" w:eastAsia="仿宋_GB2312"/>
                <w:sz w:val="24"/>
                <w:color w:val="000000"/>
              </w:rPr>
              <w:t>甲方</w:t>
            </w:r>
            <w:r>
              <w:rPr>
                <w:rFonts w:ascii="仿宋_GB2312" w:hAnsi="仿宋_GB2312" w:cs="仿宋_GB2312" w:eastAsia="仿宋_GB2312"/>
                <w:sz w:val="24"/>
                <w:color w:val="000000"/>
              </w:rPr>
              <w:t>支付合同金额的</w:t>
            </w:r>
            <w:r>
              <w:rPr>
                <w:rFonts w:ascii="仿宋_GB2312" w:hAnsi="仿宋_GB2312" w:cs="仿宋_GB2312" w:eastAsia="仿宋_GB2312"/>
                <w:sz w:val="24"/>
                <w:color w:val="000000"/>
              </w:rPr>
              <w:t>1</w:t>
            </w:r>
            <w:r>
              <w:rPr>
                <w:rFonts w:ascii="仿宋_GB2312" w:hAnsi="仿宋_GB2312" w:cs="仿宋_GB2312" w:eastAsia="仿宋_GB2312"/>
                <w:sz w:val="24"/>
                <w:color w:val="000000"/>
              </w:rPr>
              <w:t>0%作为</w:t>
            </w:r>
            <w:r>
              <w:rPr>
                <w:rFonts w:ascii="仿宋_GB2312" w:hAnsi="仿宋_GB2312" w:cs="仿宋_GB2312" w:eastAsia="仿宋_GB2312"/>
                <w:sz w:val="24"/>
                <w:color w:val="000000"/>
              </w:rPr>
              <w:t>对甲方运营管理造成不当影响的</w:t>
            </w:r>
            <w:r>
              <w:rPr>
                <w:rFonts w:ascii="仿宋_GB2312" w:hAnsi="仿宋_GB2312" w:cs="仿宋_GB2312" w:eastAsia="仿宋_GB2312"/>
                <w:sz w:val="24"/>
                <w:color w:val="000000"/>
              </w:rPr>
              <w:t>违约金</w:t>
            </w:r>
            <w:r>
              <w:rPr>
                <w:rFonts w:ascii="仿宋_GB2312" w:hAnsi="仿宋_GB2312" w:cs="仿宋_GB2312" w:eastAsia="仿宋_GB2312"/>
                <w:sz w:val="24"/>
                <w:color w:val="000000"/>
              </w:rPr>
              <w:t>，</w:t>
            </w:r>
            <w:r>
              <w:rPr>
                <w:rFonts w:ascii="仿宋_GB2312" w:hAnsi="仿宋_GB2312" w:cs="仿宋_GB2312" w:eastAsia="仿宋_GB2312"/>
                <w:sz w:val="24"/>
                <w:color w:val="000000"/>
              </w:rPr>
              <w:t>违约金不足以弥补甲方损失的，成交供应商</w:t>
            </w:r>
            <w:r>
              <w:rPr>
                <w:rFonts w:ascii="仿宋_GB2312" w:hAnsi="仿宋_GB2312" w:cs="仿宋_GB2312" w:eastAsia="仿宋_GB2312"/>
                <w:sz w:val="24"/>
                <w:color w:val="000000"/>
              </w:rPr>
              <w:t>需</w:t>
            </w:r>
            <w:r>
              <w:rPr>
                <w:rFonts w:ascii="仿宋_GB2312" w:hAnsi="仿宋_GB2312" w:cs="仿宋_GB2312" w:eastAsia="仿宋_GB2312"/>
                <w:sz w:val="24"/>
                <w:color w:val="000000"/>
              </w:rPr>
              <w:t>承担赔偿责任</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12.污水站运营过程中产生的安全责任由成交供应商承担，包含但不限于污水</w:t>
            </w:r>
            <w:r>
              <w:rPr>
                <w:rFonts w:ascii="仿宋_GB2312" w:hAnsi="仿宋_GB2312" w:cs="仿宋_GB2312" w:eastAsia="仿宋_GB2312"/>
                <w:sz w:val="24"/>
                <w:color w:val="000000"/>
              </w:rPr>
              <w:t>站</w:t>
            </w:r>
            <w:r>
              <w:rPr>
                <w:rFonts w:ascii="仿宋_GB2312" w:hAnsi="仿宋_GB2312" w:cs="仿宋_GB2312" w:eastAsia="仿宋_GB2312"/>
                <w:sz w:val="24"/>
                <w:color w:val="000000"/>
              </w:rPr>
              <w:t>运营过程中</w:t>
            </w:r>
            <w:r>
              <w:rPr>
                <w:rFonts w:ascii="仿宋_GB2312" w:hAnsi="仿宋_GB2312" w:cs="仿宋_GB2312" w:eastAsia="仿宋_GB2312"/>
                <w:sz w:val="24"/>
                <w:color w:val="000000"/>
              </w:rPr>
              <w:t>突发</w:t>
            </w:r>
            <w:r>
              <w:rPr>
                <w:rFonts w:ascii="仿宋_GB2312" w:hAnsi="仿宋_GB2312" w:cs="仿宋_GB2312" w:eastAsia="仿宋_GB2312"/>
                <w:sz w:val="24"/>
                <w:color w:val="000000"/>
              </w:rPr>
              <w:t>事故</w:t>
            </w:r>
            <w:r>
              <w:rPr>
                <w:rFonts w:ascii="仿宋_GB2312" w:hAnsi="仿宋_GB2312" w:cs="仿宋_GB2312" w:eastAsia="仿宋_GB2312"/>
                <w:sz w:val="24"/>
                <w:color w:val="000000"/>
              </w:rPr>
              <w:t>处理的所有费用包括人员伤亡医疗费</w:t>
            </w:r>
            <w:r>
              <w:rPr>
                <w:rFonts w:ascii="仿宋_GB2312" w:hAnsi="仿宋_GB2312" w:cs="仿宋_GB2312" w:eastAsia="仿宋_GB2312"/>
                <w:sz w:val="24"/>
                <w:color w:val="000000"/>
              </w:rPr>
              <w:t>、</w:t>
            </w:r>
            <w:r>
              <w:rPr>
                <w:rFonts w:ascii="仿宋_GB2312" w:hAnsi="仿宋_GB2312" w:cs="仿宋_GB2312" w:eastAsia="仿宋_GB2312"/>
                <w:sz w:val="24"/>
                <w:color w:val="000000"/>
              </w:rPr>
              <w:t>安置费等</w:t>
            </w:r>
            <w:r>
              <w:rPr>
                <w:rFonts w:ascii="仿宋_GB2312" w:hAnsi="仿宋_GB2312" w:cs="仿宋_GB2312" w:eastAsia="仿宋_GB2312"/>
                <w:sz w:val="24"/>
                <w:color w:val="000000"/>
              </w:rPr>
              <w:t>。</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以磋商文件及采购人要求为准。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三年（合同一年一签，每年考核一次，依据考核结果决定是否续签下一年服务合同，最多续签两次）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应达到合格（达到国家强制性合格标准），具体参照采购人相关制度执行。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“一次付清”为系统固定描述内容，具体付款方式以下列内容为准：合同总价款分四次，按照季度支付（三个月）。 具体以服务时间开始之日起，每季度运行根据考核内容，提供第三方检测报告、考评表，考评合格且设备运行正常，无政府部门相关处罚，由乙方开具国家正式发票，甲方在办理完院内付款手续后，以银行转账方式支付甲方支付合同总价款标的25%。如在服务期限内乙方原因发生安全责任，甲方有权单方面无条件终止合同，终止付款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（一）投标保证金注意事项 （1）投标保证金须从投标人户名支付，如从个人户名或非投标人户名支付，将被拒绝，视为自动放弃投标权利（该个人是投标人的情形除外）；投标人保证金缴纳时间：开标时间之前；以保函形式交纳投标保证金的，投标人应在投标截止时间前将保函上传至政府采购电子化交易平台，同时将保函扫描成清晰的PDF文件，发送至邮箱2973608682@qq.com（邮件命名：项目名称+项目编号）；投标人应在投标文件中附保函复印件。保函必须由具有开具投标保函资格的单位开具；若投标人违约，开具保函单位承担连带责任； （2）投标保证金的提交金额、时间不满足招标文件要求的，投标无效。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供应商为向采购人提供相关服务的法人或其他组织；</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自2025年至今已缴纳的至少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供应商提供自2025年至今已缴纳的至少一个月纳税证明或完税证明，依法免税的单位应提供相关证明材料；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供应商提供经会计师事务所审计的2024年的财务审计报告或在开标日期前六个月内其基本开户银行出具的资信证明；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ww.ccgp.gov.cn)”政府采购严重违法失信行为记录名单；</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竞争性磋商响应文件是否按竞争性磋商文件要求签署、盖章的</w:t>
            </w:r>
          </w:p>
        </w:tc>
        <w:tc>
          <w:tcPr>
            <w:tcW w:type="dxa" w:w="3322"/>
          </w:tcPr>
          <w:p>
            <w:pPr>
              <w:pStyle w:val="null3"/>
            </w:pPr>
            <w:r>
              <w:rPr>
                <w:rFonts w:ascii="仿宋_GB2312" w:hAnsi="仿宋_GB2312" w:cs="仿宋_GB2312" w:eastAsia="仿宋_GB2312"/>
              </w:rPr>
              <w:t>响应文件按竞争性磋商文件要求签署、盖章的</w:t>
            </w:r>
          </w:p>
        </w:tc>
        <w:tc>
          <w:tcPr>
            <w:tcW w:type="dxa" w:w="1661"/>
          </w:tcPr>
          <w:p>
            <w:pPr>
              <w:pStyle w:val="null3"/>
            </w:pPr>
            <w:r>
              <w:rPr>
                <w:rFonts w:ascii="仿宋_GB2312" w:hAnsi="仿宋_GB2312" w:cs="仿宋_GB2312" w:eastAsia="仿宋_GB2312"/>
              </w:rPr>
              <w:t>服务内容及服务邀请应答表 培训服务方案.docx 中小企业声明函 商务应答表 服务承诺.docx 报价表 拟投入的设备及车辆情况.docx 项目组团队人员情况表.docx 响应文件封面 履约能力.docx 残疾人福利性单位声明函 标的清单 资格证明材料.docx 法定代表人或合法授权代表证明.docx 响应函 服务方案.docx 监狱企业的证明文件 企业绩表.docx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报价是否超过竞争性磋商文件中规定的最高限价的</w:t>
            </w:r>
          </w:p>
        </w:tc>
        <w:tc>
          <w:tcPr>
            <w:tcW w:type="dxa" w:w="3322"/>
          </w:tcPr>
          <w:p>
            <w:pPr>
              <w:pStyle w:val="null3"/>
            </w:pPr>
            <w:r>
              <w:rPr>
                <w:rFonts w:ascii="仿宋_GB2312" w:hAnsi="仿宋_GB2312" w:cs="仿宋_GB2312" w:eastAsia="仿宋_GB2312"/>
              </w:rPr>
              <w:t>每轮报价未超过竞争性磋商文件中规定的最高限价的</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w:t>
            </w:r>
          </w:p>
        </w:tc>
        <w:tc>
          <w:tcPr>
            <w:tcW w:type="dxa" w:w="1661"/>
          </w:tcPr>
          <w:p>
            <w:pPr>
              <w:pStyle w:val="null3"/>
            </w:pPr>
            <w:r>
              <w:rPr>
                <w:rFonts w:ascii="仿宋_GB2312" w:hAnsi="仿宋_GB2312" w:cs="仿宋_GB2312" w:eastAsia="仿宋_GB2312"/>
              </w:rPr>
              <w:t>服务内容及服务邀请应答表 培训服务方案.docx 中小企业声明函 商务应答表 服务承诺.docx 报价表 拟投入的设备及车辆情况.docx 项目组团队人员情况表.docx 响应文件封面 履约能力.docx 残疾人福利性单位声明函 标的清单 资格证明材料.docx 法定代表人或合法授权代表证明.docx 响应函 服务方案.docx 监狱企业的证明文件 企业绩表.docx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是否发现法律、法规和竞争性磋商文件规定的其他无效情形</w:t>
            </w:r>
          </w:p>
        </w:tc>
        <w:tc>
          <w:tcPr>
            <w:tcW w:type="dxa" w:w="3322"/>
          </w:tcPr>
          <w:p>
            <w:pPr>
              <w:pStyle w:val="null3"/>
            </w:pPr>
            <w:r>
              <w:rPr>
                <w:rFonts w:ascii="仿宋_GB2312" w:hAnsi="仿宋_GB2312" w:cs="仿宋_GB2312" w:eastAsia="仿宋_GB2312"/>
              </w:rPr>
              <w:t>未发现法律、法规和竞争性磋商文件规定的其他无效情形</w:t>
            </w:r>
          </w:p>
        </w:tc>
        <w:tc>
          <w:tcPr>
            <w:tcW w:type="dxa" w:w="1661"/>
          </w:tcPr>
          <w:p>
            <w:pPr>
              <w:pStyle w:val="null3"/>
            </w:pPr>
            <w:r>
              <w:rPr>
                <w:rFonts w:ascii="仿宋_GB2312" w:hAnsi="仿宋_GB2312" w:cs="仿宋_GB2312" w:eastAsia="仿宋_GB2312"/>
              </w:rPr>
              <w:t>服务内容及服务邀请应答表 培训服务方案.docx 中小企业声明函 商务应答表 服务承诺.docx 报价表 拟投入的设备及车辆情况.docx 项目组团队人员情况表.docx 响应文件封面 履约能力.docx 残疾人福利性单位声明函 标的清单 资格证明材料.docx 法定代表人或合法授权代表证明.docx 响应函 服务方案.docx 监狱企业的证明文件 企业绩表.docx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法定代表人或合法授权代表证明</w:t>
            </w:r>
          </w:p>
        </w:tc>
        <w:tc>
          <w:tcPr>
            <w:tcW w:type="dxa" w:w="3322"/>
          </w:tcPr>
          <w:p>
            <w:pPr>
              <w:pStyle w:val="null3"/>
            </w:pPr>
            <w:r>
              <w:rPr>
                <w:rFonts w:ascii="仿宋_GB2312" w:hAnsi="仿宋_GB2312" w:cs="仿宋_GB2312" w:eastAsia="仿宋_GB2312"/>
              </w:rPr>
              <w:t>法定代表人参加开标会议的，应出具法定代表人证明书。法定代表人授权合法授权代表参加开标会议的，应出具法定代表人证明书、法定代表人授权书，同时提供截至响应文件递交截止时间前6个月内任意1个月的社保缴纳证明材料</w:t>
            </w:r>
          </w:p>
        </w:tc>
        <w:tc>
          <w:tcPr>
            <w:tcW w:type="dxa" w:w="1661"/>
          </w:tcPr>
          <w:p>
            <w:pPr>
              <w:pStyle w:val="null3"/>
            </w:pPr>
            <w:r>
              <w:rPr>
                <w:rFonts w:ascii="仿宋_GB2312" w:hAnsi="仿宋_GB2312" w:cs="仿宋_GB2312" w:eastAsia="仿宋_GB2312"/>
              </w:rPr>
              <w:t>法定代表人或合法授权代表证明.docx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服务实施方案(1)</w:t>
            </w:r>
          </w:p>
        </w:tc>
        <w:tc>
          <w:tcPr>
            <w:tcW w:type="dxa" w:w="2492"/>
          </w:tcPr>
          <w:p>
            <w:pPr>
              <w:pStyle w:val="null3"/>
            </w:pPr>
            <w:r>
              <w:rPr>
                <w:rFonts w:ascii="仿宋_GB2312" w:hAnsi="仿宋_GB2312" w:cs="仿宋_GB2312" w:eastAsia="仿宋_GB2312"/>
              </w:rPr>
              <w:t>1.根据供应商针对本项目提供的污水站日常总体托管运营服务方案，确保污水处理站正常运行进行评审： 服务方案思路清晰、科学合理、切实可行，完全满足采购人需求计4.1-5分； 服务方案思路科学、合理，服务方案内容个别内容稍有欠缺的得3.1-4分； 服务方案思路一般，服务方案内容存在个别缺项、漏项情形的得2.1-3分； 服务方案思路一般，服务方案内容存在严重缺项、漏项的得1.1-2分； 服务方案不完善，服务方案内容存在重大缺项、漏项无法保障项目实施的得0.1-1分；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服务实施方案(2)</w:t>
            </w:r>
          </w:p>
        </w:tc>
        <w:tc>
          <w:tcPr>
            <w:tcW w:type="dxa" w:w="2492"/>
          </w:tcPr>
          <w:p>
            <w:pPr>
              <w:pStyle w:val="null3"/>
            </w:pPr>
            <w:r>
              <w:rPr>
                <w:rFonts w:ascii="仿宋_GB2312" w:hAnsi="仿宋_GB2312" w:cs="仿宋_GB2312" w:eastAsia="仿宋_GB2312"/>
              </w:rPr>
              <w:t>2.根据供应商针对本项目提供的运营服务规章制度（包含各项日常管理规章制度和考核标准及奖惩方法等）及操作规范进行评审： 运营服务规章制度及操作规范清晰、科学合理、切实可行，完全满足采购人需求计4.1-5分； 运营服务规章制度及操作规范科学、合理，内容个别内容稍有欠缺的得3.1-4分； 运营服务规章制度及操作规范一般，内容存在个别缺项、漏项情形的得2.1-3分； 运营服务规章制度及操作规范一般，内容存在严重缺项、漏项的得1.1-2分； 运营服务规章制度及操作规范不完善，内容存在重大缺项、漏项无法保障项目实施的得0.1-1分；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服务实施方案(3)</w:t>
            </w:r>
          </w:p>
        </w:tc>
        <w:tc>
          <w:tcPr>
            <w:tcW w:type="dxa" w:w="2492"/>
          </w:tcPr>
          <w:p>
            <w:pPr>
              <w:pStyle w:val="null3"/>
            </w:pPr>
            <w:r>
              <w:rPr>
                <w:rFonts w:ascii="仿宋_GB2312" w:hAnsi="仿宋_GB2312" w:cs="仿宋_GB2312" w:eastAsia="仿宋_GB2312"/>
              </w:rPr>
              <w:t>3.根据供应商针对本项目制定的药剂配比制度、药品安全存储检查制度进行评审： 制度内容清晰、科学合理、切实可行，完全满足采购人需求计4.1-5分； 制度内容科学、合理，内容个别内容稍有欠缺的得3.1-4分； 制度内容一般，内容存在个别缺项、漏项情形的得2.1-3分； 制度内容一般，内容存在严重缺项、漏项的得1.1-2分； 制度内容差，内容存在重大缺项、漏项无法保障项目实施的得0.1-1分；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服务实施方案(4)①针对水质超标、停电的方案</w:t>
            </w:r>
          </w:p>
        </w:tc>
        <w:tc>
          <w:tcPr>
            <w:tcW w:type="dxa" w:w="2492"/>
          </w:tcPr>
          <w:p>
            <w:pPr>
              <w:pStyle w:val="null3"/>
            </w:pPr>
            <w:r>
              <w:rPr>
                <w:rFonts w:ascii="仿宋_GB2312" w:hAnsi="仿宋_GB2312" w:cs="仿宋_GB2312" w:eastAsia="仿宋_GB2312"/>
              </w:rPr>
              <w:t>方案内容科学合理，可行性强的得2.1-3分； 方案基本合理，具有可实施性的得.1-2分； 方案简单，条理混乱，基本不具备实施性计0.1-1分，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服务实施方案(4)②设备故障、恶劣天气影响及应急响应机制、专职应急队伍和责任分工方案</w:t>
            </w:r>
          </w:p>
        </w:tc>
        <w:tc>
          <w:tcPr>
            <w:tcW w:type="dxa" w:w="2492"/>
          </w:tcPr>
          <w:p>
            <w:pPr>
              <w:pStyle w:val="null3"/>
            </w:pPr>
            <w:r>
              <w:rPr>
                <w:rFonts w:ascii="仿宋_GB2312" w:hAnsi="仿宋_GB2312" w:cs="仿宋_GB2312" w:eastAsia="仿宋_GB2312"/>
              </w:rPr>
              <w:t>方案内容科学合理，可行性强的得2.1-3分； 方案基本合理，具有可实施性的得.1-2分； 方案简单，条理混乱，基本不具备实施性计0.1-1分，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服务实施方案(5)①全过程水质达标管控措施</w:t>
            </w:r>
          </w:p>
        </w:tc>
        <w:tc>
          <w:tcPr>
            <w:tcW w:type="dxa" w:w="2492"/>
          </w:tcPr>
          <w:p>
            <w:pPr>
              <w:pStyle w:val="null3"/>
            </w:pPr>
            <w:r>
              <w:rPr>
                <w:rFonts w:ascii="仿宋_GB2312" w:hAnsi="仿宋_GB2312" w:cs="仿宋_GB2312" w:eastAsia="仿宋_GB2312"/>
              </w:rPr>
              <w:t>措施科学合理、切实可行的得2.1-3分； 措施基本可行，能满足采购人需求的得1.1-2分； 措施简单，无法保障项目实施的大0.1-1分； 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服务实施方案(5)②设备完好率与备用冗余保障措施</w:t>
            </w:r>
          </w:p>
        </w:tc>
        <w:tc>
          <w:tcPr>
            <w:tcW w:type="dxa" w:w="2492"/>
          </w:tcPr>
          <w:p>
            <w:pPr>
              <w:pStyle w:val="null3"/>
            </w:pPr>
            <w:r>
              <w:rPr>
                <w:rFonts w:ascii="仿宋_GB2312" w:hAnsi="仿宋_GB2312" w:cs="仿宋_GB2312" w:eastAsia="仿宋_GB2312"/>
              </w:rPr>
              <w:t>措施科学合理、切实可行的得2.1-3分； 措施基本可行，能满足采购人需求的得1.1-2分； 措施简单、粗略，无法保障项目实施的得0.1-1分； 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服务实施方案(6)①操作工具、保养工具</w:t>
            </w:r>
          </w:p>
        </w:tc>
        <w:tc>
          <w:tcPr>
            <w:tcW w:type="dxa" w:w="2492"/>
          </w:tcPr>
          <w:p>
            <w:pPr>
              <w:pStyle w:val="null3"/>
            </w:pPr>
            <w:r>
              <w:rPr>
                <w:rFonts w:ascii="仿宋_GB2312" w:hAnsi="仿宋_GB2312" w:cs="仿宋_GB2312" w:eastAsia="仿宋_GB2312"/>
              </w:rPr>
              <w:t>设备工具配备完善、完全满足项目需求计1.1-2分； 设备工具配备简单、粗略，无法保障项目实施的得0.1-1分； 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拟投入的设备及车辆情况.docx</w:t>
            </w:r>
          </w:p>
        </w:tc>
      </w:tr>
      <w:tr>
        <w:tc>
          <w:tcPr>
            <w:tcW w:type="dxa" w:w="831"/>
            <w:vMerge/>
          </w:tcPr>
          <w:p/>
        </w:tc>
        <w:tc>
          <w:tcPr>
            <w:tcW w:type="dxa" w:w="1661"/>
          </w:tcPr>
          <w:p>
            <w:pPr>
              <w:pStyle w:val="null3"/>
            </w:pPr>
            <w:r>
              <w:rPr>
                <w:rFonts w:ascii="仿宋_GB2312" w:hAnsi="仿宋_GB2312" w:cs="仿宋_GB2312" w:eastAsia="仿宋_GB2312"/>
              </w:rPr>
              <w:t>服务实施方案(6)②物料、检测设备</w:t>
            </w:r>
          </w:p>
        </w:tc>
        <w:tc>
          <w:tcPr>
            <w:tcW w:type="dxa" w:w="2492"/>
          </w:tcPr>
          <w:p>
            <w:pPr>
              <w:pStyle w:val="null3"/>
            </w:pPr>
            <w:r>
              <w:rPr>
                <w:rFonts w:ascii="仿宋_GB2312" w:hAnsi="仿宋_GB2312" w:cs="仿宋_GB2312" w:eastAsia="仿宋_GB2312"/>
              </w:rPr>
              <w:t>物料、检测设备配备完善、完全满足项目需求计1.1-2分； 物料、检测设备配备简单、粗略，无法保障项目实施的得0.1-1分； 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服务实施方案(7)①设施设备巡查方案</w:t>
            </w:r>
          </w:p>
        </w:tc>
        <w:tc>
          <w:tcPr>
            <w:tcW w:type="dxa" w:w="2492"/>
          </w:tcPr>
          <w:p>
            <w:pPr>
              <w:pStyle w:val="null3"/>
            </w:pPr>
            <w:r>
              <w:rPr>
                <w:rFonts w:ascii="仿宋_GB2312" w:hAnsi="仿宋_GB2312" w:cs="仿宋_GB2312" w:eastAsia="仿宋_GB2312"/>
              </w:rPr>
              <w:t>方案完整、切实可行，针对性强、可操作性强的得3.1-4分； 方案较为完整，针对性较强，有一定操作性的得2.1-3分； 方案较为完整，针对性一般，内容的操作性稍有欠缺的得1.1-2分； 方案不完整，针对性差，有缺项、漏项的得0.1-1分； 未提供的得0分。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服务实施方案(7)②设施设备维修、维护方案</w:t>
            </w:r>
          </w:p>
        </w:tc>
        <w:tc>
          <w:tcPr>
            <w:tcW w:type="dxa" w:w="2492"/>
          </w:tcPr>
          <w:p>
            <w:pPr>
              <w:pStyle w:val="null3"/>
            </w:pPr>
            <w:r>
              <w:rPr>
                <w:rFonts w:ascii="仿宋_GB2312" w:hAnsi="仿宋_GB2312" w:cs="仿宋_GB2312" w:eastAsia="仿宋_GB2312"/>
              </w:rPr>
              <w:t>方案完整、切实可行，针对性强、可操作性强的得3.1-4分； 方案较为完整，针对性较强，有一定操作性的得2.1-3分； 方案较为完整，针对性一般，内容的操作性稍有欠缺的得1.1-2分； 方案不完整，针对性差，有缺项、漏项的得0.1-1分； 未提供的得0分。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服务实施方案(8)</w:t>
            </w:r>
          </w:p>
        </w:tc>
        <w:tc>
          <w:tcPr>
            <w:tcW w:type="dxa" w:w="2492"/>
          </w:tcPr>
          <w:p>
            <w:pPr>
              <w:pStyle w:val="null3"/>
            </w:pPr>
            <w:r>
              <w:rPr>
                <w:rFonts w:ascii="仿宋_GB2312" w:hAnsi="仿宋_GB2312" w:cs="仿宋_GB2312" w:eastAsia="仿宋_GB2312"/>
              </w:rPr>
              <w:t>8.根据供应商针对节能降耗方案，确保水电资源不浪费，服务期内根据项目实际运行情况核定用电/水额度，超出部分由供应商承担进行评审： 方案思路清晰、科学合理、切实可行，完全满足采购人需求计4.1-5分； 方案思路科学、合理，服务方案内容个别内容稍有欠缺的得3.1-4分； 方案思路一般，服务方案内容存在个别缺项、漏项情形的得2.1-3分； 方案思路一般，服务方案内容存在严重缺项、漏项的得1.1-2分； 方案不完善，服务方案内容存在重大缺项、漏项无法保障项目实施的得0.1-1分； 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服务实施方案(9)</w:t>
            </w:r>
          </w:p>
        </w:tc>
        <w:tc>
          <w:tcPr>
            <w:tcW w:type="dxa" w:w="2492"/>
          </w:tcPr>
          <w:p>
            <w:pPr>
              <w:pStyle w:val="null3"/>
            </w:pPr>
            <w:r>
              <w:rPr>
                <w:rFonts w:ascii="仿宋_GB2312" w:hAnsi="仿宋_GB2312" w:cs="仿宋_GB2312" w:eastAsia="仿宋_GB2312"/>
              </w:rPr>
              <w:t>9.根据供应商针对本项目提供的人员：总人员数量（至少包含1名站长，6名运营工（且有安全管理员和维修人员））≥7人的得5分。未提供或提供人员数量与要求不符的不得分。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项目组团队人员情况表.docx</w:t>
            </w:r>
          </w:p>
        </w:tc>
      </w:tr>
      <w:tr>
        <w:tc>
          <w:tcPr>
            <w:tcW w:type="dxa" w:w="831"/>
            <w:vMerge/>
          </w:tcPr>
          <w:p/>
        </w:tc>
        <w:tc>
          <w:tcPr>
            <w:tcW w:type="dxa" w:w="1661"/>
          </w:tcPr>
          <w:p>
            <w:pPr>
              <w:pStyle w:val="null3"/>
            </w:pPr>
            <w:r>
              <w:rPr>
                <w:rFonts w:ascii="仿宋_GB2312" w:hAnsi="仿宋_GB2312" w:cs="仿宋_GB2312" w:eastAsia="仿宋_GB2312"/>
              </w:rPr>
              <w:t>履约能力(1)①工作职能组织运行图、操作手册、污水流程图</w:t>
            </w:r>
          </w:p>
        </w:tc>
        <w:tc>
          <w:tcPr>
            <w:tcW w:type="dxa" w:w="2492"/>
          </w:tcPr>
          <w:p>
            <w:pPr>
              <w:pStyle w:val="null3"/>
            </w:pPr>
            <w:r>
              <w:rPr>
                <w:rFonts w:ascii="仿宋_GB2312" w:hAnsi="仿宋_GB2312" w:cs="仿宋_GB2312" w:eastAsia="仿宋_GB2312"/>
              </w:rPr>
              <w:t>内容明确，操作性强，可行性高的得1.1-2分； 内容不细致，可实施性差的得0.1-1分， 未提供的不计分。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履约能力(1)②药剂使用记录、检测记录表、日常运行记录、中水处理量及回用量记录等</w:t>
            </w:r>
          </w:p>
        </w:tc>
        <w:tc>
          <w:tcPr>
            <w:tcW w:type="dxa" w:w="2492"/>
          </w:tcPr>
          <w:p>
            <w:pPr>
              <w:pStyle w:val="null3"/>
            </w:pPr>
            <w:r>
              <w:rPr>
                <w:rFonts w:ascii="仿宋_GB2312" w:hAnsi="仿宋_GB2312" w:cs="仿宋_GB2312" w:eastAsia="仿宋_GB2312"/>
              </w:rPr>
              <w:t>内容明确，操作性强，可行性高的得1.1-2分； 内容不细致，可实施性差的得0.1-1分， 未提供的不计分。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履约能力(2)2.拟派项目负责人学历（3分）</w:t>
            </w:r>
          </w:p>
        </w:tc>
        <w:tc>
          <w:tcPr>
            <w:tcW w:type="dxa" w:w="2492"/>
          </w:tcPr>
          <w:p>
            <w:pPr>
              <w:pStyle w:val="null3"/>
            </w:pPr>
            <w:r>
              <w:rPr>
                <w:rFonts w:ascii="仿宋_GB2312" w:hAnsi="仿宋_GB2312" w:cs="仿宋_GB2312" w:eastAsia="仿宋_GB2312"/>
              </w:rPr>
              <w:t>拟派项目负责人具备本科（含）以上学历的得3分，专科学历的得1分，其他情况不得分。 评审依据：提供拟派项目经理最高学历证复印件或扫描件。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履约能力(3)3.拟派项目负责人业绩（3分）</w:t>
            </w:r>
          </w:p>
        </w:tc>
        <w:tc>
          <w:tcPr>
            <w:tcW w:type="dxa" w:w="2492"/>
          </w:tcPr>
          <w:p>
            <w:pPr>
              <w:pStyle w:val="null3"/>
            </w:pPr>
            <w:r>
              <w:rPr>
                <w:rFonts w:ascii="仿宋_GB2312" w:hAnsi="仿宋_GB2312" w:cs="仿宋_GB2312" w:eastAsia="仿宋_GB2312"/>
              </w:rPr>
              <w:t>提供自2022年10月1日至今拟派项目经理类似业绩证明材料，提供1份，得3分。 评审依据：类似业绩证明材料以合同为准，合同中须体现拟派项目负责人姓名，否则不得分。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培训服务方案（1）</w:t>
            </w:r>
          </w:p>
        </w:tc>
        <w:tc>
          <w:tcPr>
            <w:tcW w:type="dxa" w:w="2492"/>
          </w:tcPr>
          <w:p>
            <w:pPr>
              <w:pStyle w:val="null3"/>
            </w:pPr>
            <w:r>
              <w:rPr>
                <w:rFonts w:ascii="仿宋_GB2312" w:hAnsi="仿宋_GB2312" w:cs="仿宋_GB2312" w:eastAsia="仿宋_GB2312"/>
              </w:rPr>
              <w:t>1.根据供应商提供针对本项目对拟投入上岗人员制定岗前知识培训方案，并在项目实施过程中定期对上岗人员进行岗位培训实施方案进行评审： 方案完整、切实可行，针对性强、可操作性强的得3.1-4分； 方案较为完整，针对性较强，有一定操作性的得2.1-3分； 方案较为完整，针对性一般，内容的操作性稍有欠缺的得1.1-2分； 方案不完整，针对性差，有缺项、漏项的得0.1-1分； 未提供的得0分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培训服务方案.docx</w:t>
            </w:r>
          </w:p>
        </w:tc>
      </w:tr>
      <w:tr>
        <w:tc>
          <w:tcPr>
            <w:tcW w:type="dxa" w:w="831"/>
            <w:vMerge/>
          </w:tcPr>
          <w:p/>
        </w:tc>
        <w:tc>
          <w:tcPr>
            <w:tcW w:type="dxa" w:w="1661"/>
          </w:tcPr>
          <w:p>
            <w:pPr>
              <w:pStyle w:val="null3"/>
            </w:pPr>
            <w:r>
              <w:rPr>
                <w:rFonts w:ascii="仿宋_GB2312" w:hAnsi="仿宋_GB2312" w:cs="仿宋_GB2312" w:eastAsia="仿宋_GB2312"/>
              </w:rPr>
              <w:t>培训服务方案（2）</w:t>
            </w:r>
          </w:p>
        </w:tc>
        <w:tc>
          <w:tcPr>
            <w:tcW w:type="dxa" w:w="2492"/>
          </w:tcPr>
          <w:p>
            <w:pPr>
              <w:pStyle w:val="null3"/>
            </w:pPr>
            <w:r>
              <w:rPr>
                <w:rFonts w:ascii="仿宋_GB2312" w:hAnsi="仿宋_GB2312" w:cs="仿宋_GB2312" w:eastAsia="仿宋_GB2312"/>
              </w:rPr>
              <w:t>2.根据供应商针对本项目对上岗人员定期培训的培训内容、培训教员、培训时长，培训次数，培训方式的相应措施方案进行评审： 措施方案内容完整详细、有人员安排及执行计划方案，培训时长、次数、方式等科学合理有保障、针对性强得3.1-4分； 措施方案内容详细具体，人员安排、培训方式等较为合理得2.1-3分； 措施方案内容一般，人员安排、培训方式稍有欠缺的得1.1-2分； 措施方案内容简单，人员安排、培训计划等稍有欠缺得0.1-1分； 未提供的得0分。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培训服务方案.docx</w:t>
            </w:r>
          </w:p>
        </w:tc>
      </w:tr>
      <w:tr>
        <w:tc>
          <w:tcPr>
            <w:tcW w:type="dxa" w:w="831"/>
            <w:vMerge/>
          </w:tcPr>
          <w:p/>
        </w:tc>
        <w:tc>
          <w:tcPr>
            <w:tcW w:type="dxa" w:w="1661"/>
          </w:tcPr>
          <w:p>
            <w:pPr>
              <w:pStyle w:val="null3"/>
            </w:pPr>
            <w:r>
              <w:rPr>
                <w:rFonts w:ascii="仿宋_GB2312" w:hAnsi="仿宋_GB2312" w:cs="仿宋_GB2312" w:eastAsia="仿宋_GB2312"/>
              </w:rPr>
              <w:t>服务承诺（1）1.供应商针对本项目设施设备稳定运行、出水水质达标、出现责任事故的责任承诺进行评审</w:t>
            </w:r>
          </w:p>
        </w:tc>
        <w:tc>
          <w:tcPr>
            <w:tcW w:type="dxa" w:w="2492"/>
          </w:tcPr>
          <w:p>
            <w:pPr>
              <w:pStyle w:val="null3"/>
            </w:pPr>
            <w:r>
              <w:rPr>
                <w:rFonts w:ascii="仿宋_GB2312" w:hAnsi="仿宋_GB2312" w:cs="仿宋_GB2312" w:eastAsia="仿宋_GB2312"/>
              </w:rPr>
              <w:t>承诺完善、合理、可实施性强的得1.1-2分； 承诺简单，内容空泛的计0.1-1分； 未提供的得0分。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服务承诺（1）2.根据供应商针对本项目的服务承诺（包含但不限于针对本项目的各项服务质量目标、保障措施及服务人员入场计划等内容）及其他合理化建议及意见进行评审：</w:t>
            </w:r>
          </w:p>
        </w:tc>
        <w:tc>
          <w:tcPr>
            <w:tcW w:type="dxa" w:w="2492"/>
          </w:tcPr>
          <w:p>
            <w:pPr>
              <w:pStyle w:val="null3"/>
            </w:pPr>
            <w:r>
              <w:rPr>
                <w:rFonts w:ascii="仿宋_GB2312" w:hAnsi="仿宋_GB2312" w:cs="仿宋_GB2312" w:eastAsia="仿宋_GB2312"/>
              </w:rPr>
              <w:t>承诺完善、合理、可实施性强的得1.1-2分； 承诺简单，内容空泛的计0.1-1分； 未提供的得0分。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服务承诺（2）1.供应商承诺</w:t>
            </w:r>
          </w:p>
        </w:tc>
        <w:tc>
          <w:tcPr>
            <w:tcW w:type="dxa" w:w="2492"/>
          </w:tcPr>
          <w:p>
            <w:pPr>
              <w:pStyle w:val="null3"/>
            </w:pPr>
            <w:r>
              <w:rPr>
                <w:rFonts w:ascii="仿宋_GB2312" w:hAnsi="仿宋_GB2312" w:cs="仿宋_GB2312" w:eastAsia="仿宋_GB2312"/>
              </w:rPr>
              <w:t>1.上岗人员落实固定，且不得随意更换,若出现服务人员因事、病等不能工作的，及时调整其他服务人员补充确保服务工作的正常进行等，提供承诺书得2分，格式自拟，未提供不得分。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服务承诺（2）2.供应商承诺</w:t>
            </w:r>
          </w:p>
        </w:tc>
        <w:tc>
          <w:tcPr>
            <w:tcW w:type="dxa" w:w="2492"/>
          </w:tcPr>
          <w:p>
            <w:pPr>
              <w:pStyle w:val="null3"/>
            </w:pPr>
            <w:r>
              <w:rPr>
                <w:rFonts w:ascii="仿宋_GB2312" w:hAnsi="仿宋_GB2312" w:cs="仿宋_GB2312" w:eastAsia="仿宋_GB2312"/>
              </w:rPr>
              <w:t>2.污水站运营过程中产生的安全责任由成交供应商承担，包含但不限于污水站运营过程中突发事故处理的所有费用包括人员伤亡医疗费、安置费等，提供承诺书得2分，格式自拟，未提供不得分。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供应商提供2022年10月1日至今类似业绩证明材料，每提供1项有效业绩证明材料的计2分，满分为10分； 备注：业绩证明材料以合同的复印件或扫描件为准，时间以合同体现时间为准，业绩证明材料不符合要求的不得分。 企业业绩与项目负责人业绩可重复计分。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综合评分法中的价格分统一采用低价优先法计算，即满足磋商文件要求且最后报价最低的供应商的价格为磋商基准价，其价格分为满分。其他供应商的价格分统一按照下列公式计算： 磋商报价得分=（磋商基准价/最后磋商报价）×15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10.00%的扣除，用扣除后的价格参加评审。承接本项目的供应商符合相应条件时，给予10.00%的价格扣除，即：评标价=磋商最后报价×（1-10.00%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详见附件：法定代表人或合法授权代表证明.docx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详见附件：拟投入的设备及车辆情况.docx</w:t>
      </w:r>
    </w:p>
    <w:p>
      <w:pPr>
        <w:pStyle w:val="null3"/>
        <w:ind w:firstLine="960"/>
      </w:pPr>
      <w:r>
        <w:rPr>
          <w:rFonts w:ascii="仿宋_GB2312" w:hAnsi="仿宋_GB2312" w:cs="仿宋_GB2312" w:eastAsia="仿宋_GB2312"/>
        </w:rPr>
        <w:t>详见附件：培训服务方案.docx</w:t>
      </w:r>
    </w:p>
    <w:p>
      <w:pPr>
        <w:pStyle w:val="null3"/>
        <w:ind w:firstLine="960"/>
      </w:pPr>
      <w:r>
        <w:rPr>
          <w:rFonts w:ascii="仿宋_GB2312" w:hAnsi="仿宋_GB2312" w:cs="仿宋_GB2312" w:eastAsia="仿宋_GB2312"/>
        </w:rPr>
        <w:t>详见附件：企业绩表.docx</w:t>
      </w:r>
    </w:p>
    <w:p>
      <w:pPr>
        <w:pStyle w:val="null3"/>
        <w:ind w:firstLine="960"/>
      </w:pPr>
      <w:r>
        <w:rPr>
          <w:rFonts w:ascii="仿宋_GB2312" w:hAnsi="仿宋_GB2312" w:cs="仿宋_GB2312" w:eastAsia="仿宋_GB2312"/>
        </w:rPr>
        <w:t>详见附件：项目组团队人员情况表.docx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