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23985">
      <w:pPr>
        <w:pStyle w:val="2"/>
        <w:jc w:val="center"/>
        <w:rPr>
          <w:rFonts w:hint="eastAsia"/>
          <w:highlight w:val="none"/>
        </w:rPr>
      </w:pPr>
      <w:r>
        <w:rPr>
          <w:rFonts w:hint="eastAsia"/>
          <w:highlight w:val="none"/>
        </w:rPr>
        <w:t xml:space="preserve">第八章 </w:t>
      </w:r>
      <w:bookmarkStart w:id="67" w:name="_GoBack"/>
      <w:r>
        <w:rPr>
          <w:rFonts w:hint="eastAsia"/>
          <w:highlight w:val="none"/>
        </w:rPr>
        <w:t>拟签订采购合同文本</w:t>
      </w:r>
    </w:p>
    <w:bookmarkEnd w:id="67"/>
    <w:p w14:paraId="662A3C42">
      <w:pPr>
        <w:pStyle w:val="2"/>
        <w:spacing w:line="360" w:lineRule="auto"/>
        <w:rPr>
          <w:rFonts w:hint="eastAsia" w:ascii="宋体" w:hAnsi="宋体" w:eastAsia="宋体" w:cs="宋体"/>
          <w:bCs/>
          <w:sz w:val="24"/>
          <w:szCs w:val="24"/>
          <w:highlight w:val="none"/>
        </w:rPr>
      </w:pPr>
      <w:bookmarkStart w:id="0" w:name="_Toc22306"/>
      <w:r>
        <w:rPr>
          <w:rFonts w:hint="eastAsia" w:ascii="宋体" w:hAnsi="宋体" w:eastAsia="宋体" w:cs="宋体"/>
          <w:b w:val="0"/>
          <w:sz w:val="24"/>
          <w:szCs w:val="24"/>
          <w:highlight w:val="none"/>
        </w:rPr>
        <w:t>（合同签订时采购人有权根据供应商响应文件中的内容及承诺对合同内容进行补充和完善）</w:t>
      </w:r>
      <w:bookmarkEnd w:id="0"/>
    </w:p>
    <w:p w14:paraId="0A7F75AC">
      <w:pPr>
        <w:spacing w:line="360" w:lineRule="auto"/>
        <w:jc w:val="center"/>
        <w:rPr>
          <w:rFonts w:hint="eastAsia" w:ascii="宋体" w:hAnsi="宋体" w:cs="宋体"/>
          <w:b/>
          <w:bCs/>
          <w:spacing w:val="26"/>
          <w:sz w:val="44"/>
          <w:szCs w:val="44"/>
          <w:highlight w:val="none"/>
        </w:rPr>
      </w:pPr>
    </w:p>
    <w:p w14:paraId="3C7B56B8">
      <w:pPr>
        <w:spacing w:line="240" w:lineRule="auto"/>
        <w:ind w:firstLine="0" w:firstLineChars="0"/>
        <w:jc w:val="center"/>
        <w:rPr>
          <w:rFonts w:ascii="仿宋" w:hAnsi="仿宋" w:cs="仿宋"/>
          <w:b/>
          <w:color w:val="000000"/>
          <w:sz w:val="52"/>
          <w:szCs w:val="52"/>
          <w:highlight w:val="none"/>
          <w:lang w:eastAsia="zh-CN" w:bidi="ar-SA"/>
        </w:rPr>
      </w:pPr>
    </w:p>
    <w:p w14:paraId="0176D9F4">
      <w:pPr>
        <w:spacing w:line="240" w:lineRule="auto"/>
        <w:ind w:firstLine="0" w:firstLineChars="0"/>
        <w:jc w:val="center"/>
        <w:rPr>
          <w:rFonts w:ascii="仿宋" w:hAnsi="仿宋" w:cs="仿宋"/>
          <w:b/>
          <w:color w:val="000000"/>
          <w:sz w:val="52"/>
          <w:szCs w:val="52"/>
          <w:highlight w:val="none"/>
          <w:lang w:eastAsia="zh-CN" w:bidi="ar-SA"/>
        </w:rPr>
      </w:pPr>
    </w:p>
    <w:p w14:paraId="79CCD8E7">
      <w:pPr>
        <w:spacing w:line="240" w:lineRule="auto"/>
        <w:ind w:firstLine="0" w:firstLineChars="0"/>
        <w:jc w:val="center"/>
        <w:rPr>
          <w:rFonts w:ascii="仿宋" w:hAnsi="仿宋" w:cs="仿宋"/>
          <w:b/>
          <w:color w:val="000000"/>
          <w:sz w:val="52"/>
          <w:szCs w:val="52"/>
          <w:highlight w:val="none"/>
          <w:lang w:eastAsia="zh-CN" w:bidi="ar-SA"/>
        </w:rPr>
      </w:pPr>
    </w:p>
    <w:p w14:paraId="1947DCF4">
      <w:pPr>
        <w:adjustRightInd w:val="0"/>
        <w:snapToGrid w:val="0"/>
        <w:spacing w:line="360" w:lineRule="auto"/>
        <w:ind w:firstLine="0" w:firstLineChars="0"/>
        <w:jc w:val="center"/>
        <w:rPr>
          <w:rFonts w:hint="eastAsia" w:ascii="宋体" w:hAnsi="宋体" w:eastAsia="宋体" w:cs="宋体"/>
          <w:b/>
          <w:bCs/>
          <w:spacing w:val="26"/>
          <w:kern w:val="2"/>
          <w:sz w:val="44"/>
          <w:szCs w:val="44"/>
          <w:highlight w:val="none"/>
          <w:lang w:eastAsia="zh-CN" w:bidi="ar-SA"/>
        </w:rPr>
      </w:pPr>
      <w:r>
        <w:rPr>
          <w:rFonts w:hint="eastAsia" w:ascii="宋体" w:hAnsi="宋体" w:eastAsia="宋体" w:cs="宋体"/>
          <w:b/>
          <w:bCs/>
          <w:spacing w:val="26"/>
          <w:kern w:val="2"/>
          <w:sz w:val="44"/>
          <w:szCs w:val="44"/>
          <w:highlight w:val="none"/>
          <w:lang w:eastAsia="zh-CN" w:bidi="ar-SA"/>
        </w:rPr>
        <w:t>陕西中医药大学附属医院</w:t>
      </w:r>
    </w:p>
    <w:p w14:paraId="47EB8E36">
      <w:pPr>
        <w:adjustRightInd w:val="0"/>
        <w:snapToGrid w:val="0"/>
        <w:spacing w:line="360" w:lineRule="auto"/>
        <w:ind w:firstLine="0" w:firstLineChars="0"/>
        <w:jc w:val="center"/>
        <w:rPr>
          <w:rFonts w:hint="eastAsia" w:ascii="宋体" w:hAnsi="宋体" w:eastAsia="宋体" w:cs="宋体"/>
          <w:b/>
          <w:bCs/>
          <w:spacing w:val="26"/>
          <w:kern w:val="2"/>
          <w:sz w:val="44"/>
          <w:szCs w:val="44"/>
          <w:highlight w:val="none"/>
          <w:lang w:eastAsia="zh-CN" w:bidi="ar-SA"/>
        </w:rPr>
      </w:pPr>
      <w:bookmarkStart w:id="1" w:name="bookmark1"/>
      <w:bookmarkStart w:id="2" w:name="bookmark0"/>
      <w:bookmarkStart w:id="3" w:name="bookmark2"/>
      <w:r>
        <w:rPr>
          <w:rFonts w:hint="eastAsia" w:ascii="宋体" w:hAnsi="宋体" w:eastAsia="宋体" w:cs="宋体"/>
          <w:b/>
          <w:bCs/>
          <w:spacing w:val="26"/>
          <w:kern w:val="2"/>
          <w:sz w:val="44"/>
          <w:szCs w:val="44"/>
          <w:highlight w:val="none"/>
          <w:lang w:eastAsia="zh-CN" w:bidi="ar-SA"/>
        </w:rPr>
        <w:t>污水处理站运营管理服务合同</w:t>
      </w:r>
      <w:bookmarkEnd w:id="1"/>
      <w:bookmarkEnd w:id="2"/>
      <w:bookmarkEnd w:id="3"/>
    </w:p>
    <w:p w14:paraId="6DE5C2A9">
      <w:pPr>
        <w:ind w:firstLine="560"/>
        <w:rPr>
          <w:rFonts w:ascii="仿宋" w:hAnsi="仿宋" w:cs="仿宋"/>
          <w:color w:val="000000"/>
          <w:highlight w:val="none"/>
          <w:lang w:eastAsia="zh-CN"/>
        </w:rPr>
      </w:pPr>
    </w:p>
    <w:p w14:paraId="5B6C9B97">
      <w:pPr>
        <w:pStyle w:val="5"/>
        <w:ind w:firstLine="560"/>
        <w:rPr>
          <w:rFonts w:ascii="仿宋" w:hAnsi="仿宋" w:cs="仿宋"/>
          <w:color w:val="000000"/>
          <w:highlight w:val="none"/>
          <w:lang w:eastAsia="zh-CN"/>
        </w:rPr>
      </w:pPr>
    </w:p>
    <w:p w14:paraId="69BEF9E9">
      <w:pPr>
        <w:pStyle w:val="5"/>
        <w:ind w:firstLine="560"/>
        <w:rPr>
          <w:rFonts w:ascii="仿宋" w:hAnsi="仿宋" w:cs="仿宋"/>
          <w:color w:val="000000"/>
          <w:highlight w:val="none"/>
          <w:lang w:eastAsia="zh-CN"/>
        </w:rPr>
      </w:pPr>
    </w:p>
    <w:p w14:paraId="31B3E33C">
      <w:pPr>
        <w:pStyle w:val="5"/>
        <w:ind w:firstLine="560"/>
        <w:rPr>
          <w:rFonts w:ascii="仿宋" w:hAnsi="仿宋" w:cs="仿宋"/>
          <w:color w:val="000000"/>
          <w:highlight w:val="none"/>
          <w:lang w:eastAsia="zh-CN"/>
        </w:rPr>
      </w:pPr>
    </w:p>
    <w:p w14:paraId="785CF133">
      <w:pPr>
        <w:pStyle w:val="5"/>
        <w:ind w:firstLine="560"/>
        <w:rPr>
          <w:rFonts w:ascii="仿宋" w:hAnsi="仿宋" w:cs="仿宋"/>
          <w:color w:val="000000"/>
          <w:highlight w:val="none"/>
          <w:lang w:eastAsia="zh-CN"/>
        </w:rPr>
      </w:pPr>
    </w:p>
    <w:p w14:paraId="72456710">
      <w:pPr>
        <w:pStyle w:val="5"/>
        <w:ind w:firstLine="560"/>
        <w:rPr>
          <w:rFonts w:ascii="仿宋" w:hAnsi="仿宋" w:cs="仿宋"/>
          <w:color w:val="000000"/>
          <w:highlight w:val="none"/>
          <w:lang w:eastAsia="zh-CN"/>
        </w:rPr>
      </w:pPr>
    </w:p>
    <w:p w14:paraId="25409018">
      <w:pPr>
        <w:pStyle w:val="5"/>
        <w:ind w:firstLine="560"/>
        <w:rPr>
          <w:rFonts w:ascii="仿宋" w:hAnsi="仿宋" w:cs="仿宋"/>
          <w:color w:val="000000"/>
          <w:highlight w:val="none"/>
          <w:lang w:eastAsia="zh-CN"/>
        </w:rPr>
      </w:pPr>
    </w:p>
    <w:p w14:paraId="32FFE613">
      <w:pPr>
        <w:pStyle w:val="5"/>
        <w:spacing w:line="720" w:lineRule="auto"/>
        <w:jc w:val="center"/>
        <w:textAlignment w:val="auto"/>
        <w:rPr>
          <w:rFonts w:hint="eastAsia" w:ascii="宋体" w:hAnsi="宋体" w:eastAsia="宋体" w:cs="宋体"/>
          <w:b/>
          <w:bCs/>
          <w:color w:val="000000"/>
          <w:sz w:val="32"/>
          <w:szCs w:val="32"/>
          <w:highlight w:val="none"/>
          <w:lang w:eastAsia="zh-CN"/>
        </w:rPr>
      </w:pPr>
      <w:r>
        <w:rPr>
          <w:rFonts w:hint="eastAsia" w:ascii="宋体" w:hAnsi="宋体" w:eastAsia="宋体" w:cs="宋体"/>
          <w:b/>
          <w:bCs/>
          <w:color w:val="000000"/>
          <w:sz w:val="32"/>
          <w:szCs w:val="32"/>
          <w:highlight w:val="none"/>
          <w:lang w:eastAsia="zh-CN"/>
        </w:rPr>
        <w:t>甲方单位：</w:t>
      </w:r>
      <w:r>
        <w:rPr>
          <w:rFonts w:hint="eastAsia" w:ascii="宋体" w:hAnsi="宋体" w:eastAsia="宋体" w:cs="宋体"/>
          <w:b/>
          <w:bCs/>
          <w:color w:val="000000"/>
          <w:sz w:val="32"/>
          <w:szCs w:val="32"/>
          <w:highlight w:val="none"/>
          <w:u w:val="single"/>
          <w:lang w:eastAsia="zh-CN"/>
        </w:rPr>
        <w:t>陕西中医药大学附属医院</w:t>
      </w:r>
    </w:p>
    <w:p w14:paraId="7B27D016">
      <w:pPr>
        <w:pStyle w:val="5"/>
        <w:spacing w:line="720" w:lineRule="auto"/>
        <w:ind w:firstLine="2249" w:firstLineChars="700"/>
        <w:jc w:val="both"/>
        <w:textAlignment w:val="auto"/>
        <w:rPr>
          <w:rFonts w:hint="eastAsia" w:ascii="宋体" w:hAnsi="宋体" w:eastAsia="宋体" w:cs="宋体"/>
          <w:b/>
          <w:bCs/>
          <w:color w:val="000000"/>
          <w:sz w:val="32"/>
          <w:szCs w:val="32"/>
          <w:highlight w:val="none"/>
          <w:u w:val="single"/>
          <w:lang w:eastAsia="zh-CN"/>
        </w:rPr>
      </w:pPr>
      <w:r>
        <w:rPr>
          <w:rFonts w:hint="eastAsia" w:ascii="宋体" w:hAnsi="宋体" w:eastAsia="宋体" w:cs="宋体"/>
          <w:b/>
          <w:bCs/>
          <w:color w:val="000000"/>
          <w:sz w:val="32"/>
          <w:szCs w:val="32"/>
          <w:highlight w:val="none"/>
          <w:lang w:eastAsia="zh-CN"/>
        </w:rPr>
        <w:t>乙方单位：</w:t>
      </w:r>
      <w:r>
        <w:rPr>
          <w:rFonts w:hint="eastAsia" w:ascii="宋体" w:hAnsi="宋体" w:eastAsia="宋体" w:cs="宋体"/>
          <w:b/>
          <w:bCs/>
          <w:color w:val="000000"/>
          <w:sz w:val="32"/>
          <w:szCs w:val="32"/>
          <w:highlight w:val="none"/>
          <w:u w:val="single"/>
          <w:lang w:val="en-US" w:eastAsia="zh-CN"/>
        </w:rPr>
        <w:t xml:space="preserve">                     </w:t>
      </w:r>
      <w:r>
        <w:rPr>
          <w:rFonts w:hint="eastAsia" w:ascii="宋体" w:hAnsi="宋体" w:eastAsia="宋体" w:cs="宋体"/>
          <w:b/>
          <w:bCs/>
          <w:color w:val="000000"/>
          <w:sz w:val="32"/>
          <w:szCs w:val="32"/>
          <w:highlight w:val="none"/>
          <w:u w:val="single"/>
          <w:lang w:eastAsia="zh-CN"/>
        </w:rPr>
        <w:t xml:space="preserve"> </w:t>
      </w:r>
    </w:p>
    <w:p w14:paraId="4B11AB78">
      <w:pPr>
        <w:pStyle w:val="5"/>
        <w:spacing w:line="720" w:lineRule="auto"/>
        <w:ind w:firstLine="0" w:firstLineChars="0"/>
        <w:jc w:val="center"/>
        <w:textAlignment w:val="auto"/>
        <w:rPr>
          <w:rFonts w:hint="eastAsia" w:ascii="宋体" w:hAnsi="宋体" w:eastAsia="宋体" w:cs="宋体"/>
          <w:b/>
          <w:bCs/>
          <w:color w:val="000000"/>
          <w:sz w:val="32"/>
          <w:szCs w:val="32"/>
          <w:highlight w:val="none"/>
          <w:u w:val="none"/>
          <w:lang w:val="en-US" w:eastAsia="zh-CN"/>
        </w:rPr>
      </w:pPr>
      <w:r>
        <w:rPr>
          <w:rFonts w:hint="eastAsia" w:ascii="宋体" w:hAnsi="宋体" w:eastAsia="宋体" w:cs="宋体"/>
          <w:b/>
          <w:bCs/>
          <w:color w:val="000000"/>
          <w:sz w:val="32"/>
          <w:szCs w:val="32"/>
          <w:highlight w:val="none"/>
          <w:u w:val="none"/>
          <w:lang w:eastAsia="zh-CN"/>
        </w:rPr>
        <w:t>202</w:t>
      </w:r>
      <w:r>
        <w:rPr>
          <w:rFonts w:hint="eastAsia" w:ascii="宋体" w:hAnsi="宋体" w:eastAsia="宋体" w:cs="宋体"/>
          <w:b/>
          <w:bCs/>
          <w:color w:val="000000"/>
          <w:sz w:val="32"/>
          <w:szCs w:val="32"/>
          <w:highlight w:val="none"/>
          <w:u w:val="none"/>
          <w:lang w:val="en-US" w:eastAsia="zh-CN"/>
        </w:rPr>
        <w:t>5</w:t>
      </w:r>
      <w:r>
        <w:rPr>
          <w:rFonts w:hint="eastAsia" w:ascii="宋体" w:hAnsi="宋体" w:eastAsia="宋体" w:cs="宋体"/>
          <w:b/>
          <w:bCs/>
          <w:color w:val="000000"/>
          <w:sz w:val="32"/>
          <w:szCs w:val="32"/>
          <w:highlight w:val="none"/>
          <w:u w:val="none"/>
          <w:lang w:eastAsia="zh-CN"/>
        </w:rPr>
        <w:t>年</w:t>
      </w:r>
      <w:r>
        <w:rPr>
          <w:rFonts w:hint="eastAsia" w:ascii="宋体" w:hAnsi="宋体" w:eastAsia="宋体" w:cs="宋体"/>
          <w:b/>
          <w:bCs/>
          <w:color w:val="000000"/>
          <w:sz w:val="32"/>
          <w:szCs w:val="32"/>
          <w:highlight w:val="none"/>
          <w:u w:val="none"/>
          <w:lang w:val="en-US" w:eastAsia="zh-CN"/>
        </w:rPr>
        <w:t>12月</w:t>
      </w:r>
    </w:p>
    <w:p w14:paraId="26116E0F">
      <w:pPr>
        <w:rPr>
          <w:rFonts w:hint="eastAsia" w:ascii="宋体" w:hAnsi="宋体" w:eastAsia="宋体" w:cs="宋体"/>
          <w:color w:val="000000"/>
          <w:sz w:val="24"/>
          <w:szCs w:val="24"/>
          <w:highlight w:val="none"/>
          <w:lang w:val="zh-TW" w:eastAsia="zh-TW" w:bidi="zh-TW"/>
        </w:rPr>
      </w:pPr>
      <w:r>
        <w:rPr>
          <w:rFonts w:hint="eastAsia" w:ascii="仿宋" w:hAnsi="仿宋" w:cs="仿宋"/>
          <w:color w:val="000000"/>
          <w:sz w:val="30"/>
          <w:szCs w:val="30"/>
          <w:highlight w:val="none"/>
          <w:lang w:val="zh-TW" w:eastAsia="zh-TW" w:bidi="zh-TW"/>
        </w:rPr>
        <w:br w:type="page"/>
      </w:r>
      <w:r>
        <w:rPr>
          <w:rFonts w:hint="eastAsia" w:ascii="仿宋" w:hAnsi="仿宋" w:cs="仿宋"/>
          <w:color w:val="000000"/>
          <w:sz w:val="30"/>
          <w:szCs w:val="30"/>
          <w:highlight w:val="none"/>
          <w:lang w:val="en-US" w:eastAsia="zh-CN" w:bidi="zh-TW"/>
        </w:rPr>
        <w:t xml:space="preserve">   </w:t>
      </w:r>
      <w:r>
        <w:rPr>
          <w:rFonts w:hint="eastAsia" w:ascii="宋体" w:hAnsi="宋体" w:eastAsia="宋体" w:cs="宋体"/>
          <w:color w:val="000000"/>
          <w:sz w:val="24"/>
          <w:szCs w:val="24"/>
          <w:highlight w:val="none"/>
          <w:lang w:val="zh-TW" w:eastAsia="zh-TW" w:bidi="zh-TW"/>
        </w:rPr>
        <w:t>甲方：</w:t>
      </w:r>
      <w:r>
        <w:rPr>
          <w:rFonts w:hint="eastAsia" w:ascii="宋体" w:hAnsi="宋体" w:eastAsia="宋体" w:cs="宋体"/>
          <w:color w:val="000000"/>
          <w:sz w:val="24"/>
          <w:szCs w:val="24"/>
          <w:highlight w:val="none"/>
          <w:u w:val="single"/>
          <w:lang w:val="zh-TW" w:eastAsia="zh-TW" w:bidi="zh-TW"/>
        </w:rPr>
        <w:t xml:space="preserve">陕西中医药大学附属医院 </w:t>
      </w:r>
    </w:p>
    <w:p w14:paraId="464B491B">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eastAsia" w:ascii="宋体" w:hAnsi="宋体" w:eastAsia="宋体" w:cs="宋体"/>
          <w:color w:val="333333"/>
          <w:sz w:val="24"/>
          <w:szCs w:val="24"/>
          <w:highlight w:val="none"/>
          <w:shd w:val="clear" w:color="auto" w:fill="FFFFFF"/>
          <w:lang w:val="en-US" w:eastAsia="zh-CN"/>
        </w:rPr>
      </w:pPr>
      <w:r>
        <w:rPr>
          <w:rFonts w:hint="eastAsia" w:ascii="宋体" w:hAnsi="宋体" w:eastAsia="宋体" w:cs="宋体"/>
          <w:i/>
          <w:iCs/>
          <w:color w:val="000000"/>
          <w:sz w:val="24"/>
          <w:szCs w:val="24"/>
          <w:highlight w:val="none"/>
          <w:lang w:eastAsia="zh-CN" w:bidi="zh-TW"/>
        </w:rPr>
        <w:t>乙</w:t>
      </w:r>
      <w:r>
        <w:rPr>
          <w:rFonts w:hint="eastAsia" w:ascii="宋体" w:hAnsi="宋体" w:eastAsia="宋体" w:cs="宋体"/>
          <w:color w:val="000000"/>
          <w:sz w:val="24"/>
          <w:szCs w:val="24"/>
          <w:highlight w:val="none"/>
          <w:lang w:val="zh-TW" w:eastAsia="zh-TW" w:bidi="zh-TW"/>
        </w:rPr>
        <w:t>方:</w:t>
      </w:r>
      <w:r>
        <w:rPr>
          <w:rFonts w:hint="eastAsia" w:ascii="宋体" w:hAnsi="宋体" w:eastAsia="宋体" w:cs="宋体"/>
          <w:color w:val="000000"/>
          <w:sz w:val="24"/>
          <w:szCs w:val="24"/>
          <w:highlight w:val="none"/>
          <w:lang w:val="en-US" w:eastAsia="zh-CN" w:bidi="zh-TW"/>
        </w:rPr>
        <w:t xml:space="preserve"> </w:t>
      </w:r>
      <w:r>
        <w:rPr>
          <w:rFonts w:hint="eastAsia" w:ascii="宋体" w:hAnsi="宋体" w:eastAsia="宋体" w:cs="宋体"/>
          <w:color w:val="000000"/>
          <w:sz w:val="24"/>
          <w:szCs w:val="24"/>
          <w:highlight w:val="none"/>
          <w:u w:val="single"/>
          <w:lang w:val="zh-TW" w:eastAsia="zh-TW" w:bidi="zh-TW"/>
        </w:rPr>
        <w:t xml:space="preserve"> </w:t>
      </w:r>
      <w:r>
        <w:rPr>
          <w:rFonts w:hint="eastAsia" w:ascii="宋体" w:hAnsi="宋体" w:eastAsia="宋体" w:cs="宋体"/>
          <w:color w:val="000000"/>
          <w:sz w:val="24"/>
          <w:szCs w:val="24"/>
          <w:highlight w:val="none"/>
          <w:u w:val="single"/>
          <w:lang w:val="en-US" w:eastAsia="zh-CN" w:bidi="zh-TW"/>
        </w:rPr>
        <w:t xml:space="preserve">                      </w:t>
      </w:r>
    </w:p>
    <w:p w14:paraId="1FF0CB24">
      <w:pPr>
        <w:pageBreakBefore w:val="0"/>
        <w:widowControl w:val="0"/>
        <w:kinsoku/>
        <w:wordWrap/>
        <w:overflowPunct/>
        <w:topLinePunct w:val="0"/>
        <w:autoSpaceDE/>
        <w:autoSpaceDN/>
        <w:bidi w:val="0"/>
        <w:adjustRightInd w:val="0"/>
        <w:snapToGrid w:val="0"/>
        <w:spacing w:line="360" w:lineRule="auto"/>
        <w:ind w:firstLine="480" w:firstLineChars="200"/>
        <w:jc w:val="both"/>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eastAsia="zh-CN"/>
        </w:rPr>
        <w:t>为了响应国家环境保护局关于环保设施市场化经营的要求，保证 环保设施正常稳定运行，甲方通过公开招标依法确定了乙方，双方依 照《中华人民共和国民法典》《中华人民共和国环境保护法》《医疗 机构水污染物排放标准GB18466-2005》</w:t>
      </w:r>
      <w:r>
        <w:rPr>
          <w:rFonts w:hint="eastAsia" w:ascii="宋体" w:hAnsi="宋体" w:eastAsia="宋体" w:cs="宋体"/>
          <w:color w:val="auto"/>
          <w:sz w:val="24"/>
          <w:szCs w:val="24"/>
          <w:highlight w:val="none"/>
          <w:lang w:eastAsia="zh-CN"/>
        </w:rPr>
        <w:t>及</w:t>
      </w:r>
      <w:r>
        <w:rPr>
          <w:rFonts w:hint="eastAsia" w:ascii="宋体" w:hAnsi="宋体" w:eastAsia="宋体" w:cs="宋体"/>
          <w:color w:val="000000"/>
          <w:sz w:val="24"/>
          <w:szCs w:val="24"/>
          <w:highlight w:val="none"/>
          <w:lang w:eastAsia="zh-CN"/>
        </w:rPr>
        <w:t>相关规定，双方遵循平等、自愿、公平和诚实信用的原则，就乙方为甲方污水处理提供运营管理 服务事宜，协商一致，订立本合同。</w:t>
      </w:r>
      <w:bookmarkStart w:id="4" w:name="bookmark4"/>
      <w:bookmarkStart w:id="5" w:name="bookmark5"/>
      <w:bookmarkStart w:id="6" w:name="bookmark3"/>
    </w:p>
    <w:p w14:paraId="2AC2CE36">
      <w:pPr>
        <w:pStyle w:val="2"/>
        <w:pageBreakBefore w:val="0"/>
        <w:widowControl w:val="0"/>
        <w:kinsoku/>
        <w:wordWrap/>
        <w:overflowPunct/>
        <w:topLinePunct w:val="0"/>
        <w:autoSpaceDE/>
        <w:autoSpaceDN/>
        <w:bidi w:val="0"/>
        <w:adjustRightInd w:val="0"/>
        <w:snapToGrid w:val="0"/>
        <w:spacing w:line="360" w:lineRule="auto"/>
        <w:ind w:firstLine="482" w:firstLineChars="2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第一章基本情况</w:t>
      </w:r>
      <w:bookmarkEnd w:id="4"/>
      <w:bookmarkEnd w:id="5"/>
      <w:bookmarkEnd w:id="6"/>
    </w:p>
    <w:p w14:paraId="6CE3BEDB">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第一条基本情况</w:t>
      </w:r>
    </w:p>
    <w:p w14:paraId="41A55453">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u w:val="single"/>
          <w:lang w:val="zh-TW" w:eastAsia="zh-TW"/>
        </w:rPr>
      </w:pPr>
      <w:r>
        <w:rPr>
          <w:rFonts w:hint="eastAsia" w:ascii="宋体" w:hAnsi="宋体" w:eastAsia="宋体" w:cs="宋体"/>
          <w:color w:val="000000"/>
          <w:sz w:val="24"/>
          <w:szCs w:val="24"/>
          <w:highlight w:val="none"/>
          <w:lang w:val="zh-TW" w:eastAsia="zh-TW"/>
        </w:rPr>
        <w:t>项目名称：</w:t>
      </w:r>
      <w:r>
        <w:rPr>
          <w:rFonts w:hint="eastAsia" w:ascii="宋体" w:hAnsi="宋体" w:eastAsia="宋体" w:cs="宋体"/>
          <w:color w:val="000000"/>
          <w:sz w:val="24"/>
          <w:szCs w:val="24"/>
          <w:highlight w:val="none"/>
          <w:u w:val="single"/>
          <w:lang w:val="zh-TW" w:eastAsia="zh-TW"/>
        </w:rPr>
        <w:t>陕西中医药大学附属医院</w:t>
      </w:r>
      <w:r>
        <w:rPr>
          <w:rFonts w:hint="eastAsia" w:ascii="宋体" w:hAnsi="宋体" w:eastAsia="宋体" w:cs="宋体"/>
          <w:color w:val="000000"/>
          <w:sz w:val="24"/>
          <w:szCs w:val="24"/>
          <w:highlight w:val="none"/>
          <w:u w:val="single"/>
          <w:lang w:val="zh-TW" w:eastAsia="zh-CN"/>
        </w:rPr>
        <w:t>污水处理运营管理服务项目</w:t>
      </w:r>
      <w:r>
        <w:rPr>
          <w:rFonts w:hint="eastAsia" w:ascii="宋体" w:hAnsi="宋体" w:eastAsia="宋体" w:cs="宋体"/>
          <w:color w:val="000000"/>
          <w:sz w:val="24"/>
          <w:szCs w:val="24"/>
          <w:highlight w:val="none"/>
          <w:u w:val="single"/>
          <w:lang w:val="zh-TW" w:eastAsia="zh-TW"/>
        </w:rPr>
        <w:t>；</w:t>
      </w:r>
    </w:p>
    <w:p w14:paraId="0982065A">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u w:val="single"/>
          <w:lang w:val="zh-TW" w:eastAsia="zh-TW"/>
        </w:rPr>
      </w:pPr>
      <w:r>
        <w:rPr>
          <w:rFonts w:hint="eastAsia" w:ascii="宋体" w:hAnsi="宋体" w:eastAsia="宋体" w:cs="宋体"/>
          <w:color w:val="000000"/>
          <w:sz w:val="24"/>
          <w:szCs w:val="24"/>
          <w:highlight w:val="none"/>
          <w:lang w:val="zh-TW" w:eastAsia="zh-TW"/>
        </w:rPr>
        <w:t>服务地点：</w:t>
      </w:r>
      <w:r>
        <w:rPr>
          <w:rFonts w:hint="eastAsia" w:ascii="宋体" w:hAnsi="宋体" w:eastAsia="宋体" w:cs="宋体"/>
          <w:color w:val="000000"/>
          <w:sz w:val="24"/>
          <w:szCs w:val="24"/>
          <w:highlight w:val="none"/>
          <w:u w:val="single"/>
          <w:lang w:val="zh-TW" w:eastAsia="zh-CN"/>
        </w:rPr>
        <w:t>陕西中医药大学附属医院</w:t>
      </w:r>
      <w:r>
        <w:rPr>
          <w:rFonts w:hint="eastAsia" w:ascii="宋体" w:hAnsi="宋体" w:eastAsia="宋体" w:cs="宋体"/>
          <w:color w:val="000000"/>
          <w:sz w:val="24"/>
          <w:szCs w:val="24"/>
          <w:highlight w:val="none"/>
          <w:u w:val="single"/>
          <w:lang w:val="zh-TW" w:eastAsia="zh-TW"/>
        </w:rPr>
        <w:t>及嘉惠分院；</w:t>
      </w:r>
    </w:p>
    <w:p w14:paraId="6D016958">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服务区域：甲方指定区域</w:t>
      </w:r>
    </w:p>
    <w:p w14:paraId="778E3D79">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zh-TW" w:eastAsia="zh-TW"/>
        </w:rPr>
        <w:t>服务期限：</w:t>
      </w:r>
      <w:r>
        <w:rPr>
          <w:rFonts w:hint="eastAsia" w:ascii="宋体" w:hAnsi="宋体" w:eastAsia="宋体" w:cs="宋体"/>
          <w:color w:val="000000"/>
          <w:sz w:val="24"/>
          <w:szCs w:val="24"/>
          <w:highlight w:val="none"/>
          <w:lang w:eastAsia="zh-CN"/>
        </w:rPr>
        <w:t>3年，一年一考评，考评合格续签。本次为第1年服务合同，服务期限为</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eastAsia="zh-CN"/>
        </w:rPr>
        <w:t>年</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eastAsia="zh-CN"/>
        </w:rPr>
        <w:t>月</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eastAsia="zh-CN"/>
        </w:rPr>
        <w:t>日至</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eastAsia="zh-CN"/>
        </w:rPr>
        <w:t>年</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eastAsia="zh-CN"/>
        </w:rPr>
        <w:t>月</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eastAsia="zh-CN"/>
        </w:rPr>
        <w:t>日。</w:t>
      </w:r>
    </w:p>
    <w:p w14:paraId="74F20C1F">
      <w:pPr>
        <w:pStyle w:val="2"/>
        <w:pageBreakBefore w:val="0"/>
        <w:widowControl w:val="0"/>
        <w:kinsoku/>
        <w:wordWrap/>
        <w:overflowPunct/>
        <w:topLinePunct w:val="0"/>
        <w:autoSpaceDE/>
        <w:autoSpaceDN/>
        <w:bidi w:val="0"/>
        <w:adjustRightInd w:val="0"/>
        <w:snapToGrid w:val="0"/>
        <w:spacing w:line="360" w:lineRule="auto"/>
        <w:ind w:firstLine="482" w:firstLineChars="200"/>
        <w:rPr>
          <w:rFonts w:hint="eastAsia" w:ascii="宋体" w:hAnsi="宋体" w:eastAsia="宋体" w:cs="宋体"/>
          <w:color w:val="000000"/>
          <w:sz w:val="24"/>
          <w:szCs w:val="24"/>
          <w:highlight w:val="none"/>
          <w:lang w:val="zh-TW" w:eastAsia="zh-TW"/>
        </w:rPr>
      </w:pPr>
      <w:bookmarkStart w:id="7" w:name="bookmark7"/>
      <w:bookmarkStart w:id="8" w:name="bookmark6"/>
      <w:bookmarkStart w:id="9" w:name="bookmark8"/>
      <w:r>
        <w:rPr>
          <w:rFonts w:hint="eastAsia" w:ascii="宋体" w:hAnsi="宋体" w:eastAsia="宋体" w:cs="宋体"/>
          <w:color w:val="000000"/>
          <w:sz w:val="24"/>
          <w:szCs w:val="24"/>
          <w:highlight w:val="none"/>
          <w:lang w:val="zh-TW" w:eastAsia="zh-TW"/>
        </w:rPr>
        <w:t>第二章服务内容与质量</w:t>
      </w:r>
      <w:bookmarkEnd w:id="7"/>
      <w:bookmarkEnd w:id="8"/>
      <w:bookmarkEnd w:id="9"/>
    </w:p>
    <w:p w14:paraId="6EAB73BE">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第二条：乙方负责陕西中医药大学附属医院污水处理站(包含</w:t>
      </w:r>
      <w:r>
        <w:rPr>
          <w:rFonts w:hint="eastAsia" w:ascii="宋体" w:hAnsi="宋体" w:eastAsia="宋体" w:cs="宋体"/>
          <w:color w:val="000000"/>
          <w:sz w:val="24"/>
          <w:szCs w:val="24"/>
          <w:highlight w:val="none"/>
          <w:lang w:val="zh-TW" w:eastAsia="zh-CN"/>
        </w:rPr>
        <w:t>3</w:t>
      </w:r>
      <w:r>
        <w:rPr>
          <w:rFonts w:hint="eastAsia" w:ascii="宋体" w:hAnsi="宋体" w:eastAsia="宋体" w:cs="宋体"/>
          <w:color w:val="000000"/>
          <w:sz w:val="24"/>
          <w:szCs w:val="24"/>
          <w:highlight w:val="none"/>
          <w:lang w:val="zh-TW" w:eastAsia="zh-TW"/>
        </w:rPr>
        <w:t xml:space="preserve"> 个污水处理站</w:t>
      </w: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lang w:val="zh-TW" w:eastAsia="zh-TW"/>
        </w:rPr>
        <w:t>个污水预处理站)的运行管理服务，主要</w:t>
      </w:r>
      <w:r>
        <w:rPr>
          <w:rFonts w:hint="eastAsia" w:ascii="宋体" w:hAnsi="宋体" w:eastAsia="宋体" w:cs="宋体"/>
          <w:color w:val="000000"/>
          <w:sz w:val="24"/>
          <w:szCs w:val="24"/>
          <w:highlight w:val="none"/>
          <w:lang w:val="en-US" w:eastAsia="zh-CN"/>
        </w:rPr>
        <w:t>为负责医院</w:t>
      </w:r>
      <w:r>
        <w:rPr>
          <w:rFonts w:hint="eastAsia" w:ascii="宋体" w:hAnsi="宋体" w:eastAsia="宋体" w:cs="宋体"/>
          <w:color w:val="000000"/>
          <w:sz w:val="24"/>
          <w:szCs w:val="24"/>
          <w:highlight w:val="none"/>
          <w:lang w:val="zh-TW" w:eastAsia="zh-TW"/>
        </w:rPr>
        <w:t>污水处理站的</w:t>
      </w:r>
      <w:r>
        <w:rPr>
          <w:rFonts w:hint="eastAsia" w:ascii="宋体" w:hAnsi="宋体" w:eastAsia="宋体" w:cs="宋体"/>
          <w:color w:val="000000"/>
          <w:sz w:val="24"/>
          <w:szCs w:val="24"/>
          <w:highlight w:val="none"/>
          <w:lang w:val="en-US" w:eastAsia="zh-CN"/>
        </w:rPr>
        <w:t>安全、规范</w:t>
      </w:r>
      <w:r>
        <w:rPr>
          <w:rFonts w:hint="eastAsia" w:ascii="宋体" w:hAnsi="宋体" w:eastAsia="宋体" w:cs="宋体"/>
          <w:color w:val="000000"/>
          <w:sz w:val="24"/>
          <w:szCs w:val="24"/>
          <w:highlight w:val="none"/>
          <w:lang w:val="zh-TW" w:eastAsia="zh-TW"/>
        </w:rPr>
        <w:t>运营，</w:t>
      </w:r>
      <w:r>
        <w:rPr>
          <w:rFonts w:hint="eastAsia" w:ascii="宋体" w:hAnsi="宋体" w:eastAsia="宋体" w:cs="宋体"/>
          <w:color w:val="000000"/>
          <w:sz w:val="24"/>
          <w:szCs w:val="24"/>
          <w:highlight w:val="none"/>
          <w:lang w:val="en-US" w:eastAsia="zh-CN"/>
        </w:rPr>
        <w:t>内容</w:t>
      </w:r>
      <w:r>
        <w:rPr>
          <w:rFonts w:hint="eastAsia" w:ascii="宋体" w:hAnsi="宋体" w:eastAsia="宋体" w:cs="宋体"/>
          <w:color w:val="000000"/>
          <w:sz w:val="24"/>
          <w:szCs w:val="24"/>
          <w:highlight w:val="none"/>
          <w:lang w:val="zh-TW" w:eastAsia="zh-TW"/>
        </w:rPr>
        <w:t>包括：</w:t>
      </w:r>
      <w:r>
        <w:rPr>
          <w:rFonts w:hint="eastAsia" w:ascii="宋体" w:hAnsi="宋体" w:eastAsia="宋体" w:cs="宋体"/>
          <w:color w:val="000000"/>
          <w:sz w:val="24"/>
          <w:szCs w:val="24"/>
          <w:highlight w:val="none"/>
          <w:lang w:val="en-US" w:eastAsia="zh-CN"/>
        </w:rPr>
        <w:t>污水站</w:t>
      </w:r>
      <w:r>
        <w:rPr>
          <w:rFonts w:hint="eastAsia" w:ascii="宋体" w:hAnsi="宋体" w:eastAsia="宋体" w:cs="宋体"/>
          <w:color w:val="000000"/>
          <w:sz w:val="24"/>
          <w:szCs w:val="24"/>
          <w:highlight w:val="none"/>
          <w:lang w:val="zh-TW" w:eastAsia="zh-TW"/>
        </w:rPr>
        <w:t>运行</w:t>
      </w:r>
      <w:r>
        <w:rPr>
          <w:rFonts w:hint="eastAsia" w:ascii="宋体" w:hAnsi="宋体" w:eastAsia="宋体" w:cs="宋体"/>
          <w:color w:val="000000"/>
          <w:sz w:val="24"/>
          <w:szCs w:val="24"/>
          <w:highlight w:val="none"/>
          <w:lang w:val="en-US" w:eastAsia="zh-CN"/>
        </w:rPr>
        <w:t>期间设施设备及人员</w:t>
      </w:r>
      <w:r>
        <w:rPr>
          <w:rFonts w:hint="eastAsia" w:ascii="宋体" w:hAnsi="宋体" w:eastAsia="宋体" w:cs="宋体"/>
          <w:color w:val="000000"/>
          <w:sz w:val="24"/>
          <w:szCs w:val="24"/>
          <w:highlight w:val="none"/>
          <w:lang w:val="zh-TW" w:eastAsia="zh-TW"/>
        </w:rPr>
        <w:t>管理</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en-US" w:eastAsia="zh-CN"/>
        </w:rPr>
        <w:t>运营期间</w:t>
      </w:r>
      <w:r>
        <w:rPr>
          <w:rFonts w:hint="eastAsia" w:ascii="宋体" w:hAnsi="宋体" w:eastAsia="宋体" w:cs="宋体"/>
          <w:color w:val="000000"/>
          <w:sz w:val="24"/>
          <w:szCs w:val="24"/>
          <w:highlight w:val="none"/>
          <w:lang w:val="zh-TW" w:eastAsia="zh-TW"/>
        </w:rPr>
        <w:t>各类药品</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zh-TW" w:eastAsia="zh-TW"/>
        </w:rPr>
        <w:t>辅材</w:t>
      </w:r>
      <w:r>
        <w:rPr>
          <w:rFonts w:hint="eastAsia" w:ascii="宋体" w:hAnsi="宋体" w:eastAsia="宋体" w:cs="宋体"/>
          <w:color w:val="000000"/>
          <w:sz w:val="24"/>
          <w:szCs w:val="24"/>
          <w:highlight w:val="none"/>
          <w:lang w:val="en-US" w:eastAsia="zh-CN"/>
        </w:rPr>
        <w:t>的</w:t>
      </w:r>
      <w:r>
        <w:rPr>
          <w:rFonts w:hint="eastAsia" w:ascii="宋体" w:hAnsi="宋体" w:eastAsia="宋体" w:cs="宋体"/>
          <w:color w:val="000000"/>
          <w:sz w:val="24"/>
          <w:szCs w:val="24"/>
          <w:highlight w:val="none"/>
          <w:lang w:val="zh-TW" w:eastAsia="zh-TW"/>
        </w:rPr>
        <w:t>购置</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zh-TW" w:eastAsia="zh-TW"/>
        </w:rPr>
        <w:t>设备设施维修</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zh-TW" w:eastAsia="zh-TW"/>
        </w:rPr>
        <w:t>保养</w:t>
      </w:r>
      <w:r>
        <w:rPr>
          <w:rFonts w:hint="eastAsia" w:ascii="宋体" w:hAnsi="宋体" w:eastAsia="宋体" w:cs="宋体"/>
          <w:color w:val="000000"/>
          <w:sz w:val="24"/>
          <w:szCs w:val="24"/>
          <w:highlight w:val="none"/>
          <w:lang w:val="en-US" w:eastAsia="zh-CN"/>
        </w:rPr>
        <w:t>及更新</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en-US" w:eastAsia="zh-CN"/>
        </w:rPr>
        <w:t>设置并及时调整处理工艺确保</w:t>
      </w:r>
      <w:r>
        <w:rPr>
          <w:rFonts w:hint="eastAsia" w:ascii="宋体" w:hAnsi="宋体" w:eastAsia="宋体" w:cs="宋体"/>
          <w:color w:val="000000"/>
          <w:sz w:val="24"/>
          <w:szCs w:val="24"/>
          <w:highlight w:val="none"/>
          <w:lang w:val="zh-TW" w:eastAsia="zh-TW"/>
        </w:rPr>
        <w:t>水质达标排放并符合国家、地方环保标准</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en-US" w:eastAsia="zh-CN"/>
        </w:rPr>
        <w:t>相关废物的处置</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zh-TW" w:eastAsia="zh-TW"/>
        </w:rPr>
        <w:t>配合国家、地方、政府部门及院方的各类检查，按照环保主管部门要求</w:t>
      </w:r>
      <w:r>
        <w:rPr>
          <w:rFonts w:hint="eastAsia" w:ascii="宋体" w:hAnsi="宋体" w:eastAsia="宋体" w:cs="宋体"/>
          <w:color w:val="000000"/>
          <w:sz w:val="24"/>
          <w:szCs w:val="24"/>
          <w:highlight w:val="none"/>
          <w:lang w:val="en-US" w:eastAsia="zh-CN"/>
        </w:rPr>
        <w:t>及文件规范制定</w:t>
      </w:r>
      <w:r>
        <w:rPr>
          <w:rFonts w:hint="eastAsia" w:ascii="宋体" w:hAnsi="宋体" w:eastAsia="宋体" w:cs="宋体"/>
          <w:color w:val="000000"/>
          <w:sz w:val="24"/>
          <w:szCs w:val="24"/>
          <w:highlight w:val="none"/>
          <w:lang w:val="zh-TW" w:eastAsia="zh-TW"/>
        </w:rPr>
        <w:t>运行</w:t>
      </w:r>
      <w:r>
        <w:rPr>
          <w:rFonts w:hint="eastAsia" w:ascii="宋体" w:hAnsi="宋体" w:eastAsia="宋体" w:cs="宋体"/>
          <w:color w:val="000000"/>
          <w:sz w:val="24"/>
          <w:szCs w:val="24"/>
          <w:highlight w:val="none"/>
          <w:lang w:val="en-US" w:eastAsia="zh-CN"/>
        </w:rPr>
        <w:t>管理制度</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en-US" w:eastAsia="zh-CN"/>
        </w:rPr>
        <w:t>做好运营期间各类纸质及电子记录、台账、档案，负责为医院在国家排污许可证管理信息平台、陕西省环境信息披露平台等政府要求的监管平台及时上报信息，为医院提供水处理、排放过程中相关证照办理变更的咨询、上报、办理等服务</w:t>
      </w:r>
      <w:r>
        <w:rPr>
          <w:rFonts w:hint="eastAsia" w:ascii="宋体" w:hAnsi="宋体" w:eastAsia="宋体" w:cs="宋体"/>
          <w:color w:val="000000"/>
          <w:sz w:val="24"/>
          <w:szCs w:val="24"/>
          <w:highlight w:val="none"/>
          <w:lang w:val="zh-TW" w:eastAsia="zh-TW"/>
        </w:rPr>
        <w:t>。</w:t>
      </w:r>
    </w:p>
    <w:p w14:paraId="04D3194C">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第三条：</w:t>
      </w:r>
      <w:r>
        <w:rPr>
          <w:rFonts w:hint="eastAsia" w:ascii="宋体" w:hAnsi="宋体" w:eastAsia="宋体" w:cs="宋体"/>
          <w:color w:val="000000"/>
          <w:sz w:val="24"/>
          <w:szCs w:val="24"/>
          <w:highlight w:val="none"/>
          <w:lang w:val="zh-TW" w:eastAsia="zh-CN"/>
        </w:rPr>
        <w:t>污水站</w:t>
      </w:r>
      <w:r>
        <w:rPr>
          <w:rFonts w:hint="eastAsia" w:ascii="宋体" w:hAnsi="宋体" w:eastAsia="宋体" w:cs="宋体"/>
          <w:color w:val="000000"/>
          <w:sz w:val="24"/>
          <w:szCs w:val="24"/>
          <w:highlight w:val="none"/>
          <w:lang w:val="zh-TW" w:eastAsia="zh-TW"/>
        </w:rPr>
        <w:t>运行期间</w:t>
      </w:r>
      <w:r>
        <w:rPr>
          <w:rFonts w:hint="eastAsia" w:ascii="宋体" w:hAnsi="宋体" w:eastAsia="宋体" w:cs="宋体"/>
          <w:color w:val="000000"/>
          <w:sz w:val="24"/>
          <w:szCs w:val="24"/>
          <w:highlight w:val="none"/>
          <w:lang w:val="en-US" w:eastAsia="zh-CN"/>
        </w:rPr>
        <w:t>污水站产生的相关废物需合规</w:t>
      </w:r>
      <w:r>
        <w:rPr>
          <w:rFonts w:hint="eastAsia" w:ascii="宋体" w:hAnsi="宋体" w:eastAsia="宋体" w:cs="宋体"/>
          <w:color w:val="000000"/>
          <w:sz w:val="24"/>
          <w:szCs w:val="24"/>
          <w:highlight w:val="none"/>
          <w:lang w:val="zh-TW" w:eastAsia="zh-TW"/>
        </w:rPr>
        <w:t>处理；污</w:t>
      </w:r>
      <w:r>
        <w:rPr>
          <w:rFonts w:hint="eastAsia" w:ascii="宋体" w:hAnsi="宋体" w:eastAsia="宋体" w:cs="宋体"/>
          <w:color w:val="000000"/>
          <w:sz w:val="24"/>
          <w:szCs w:val="24"/>
          <w:highlight w:val="none"/>
          <w:lang w:val="en-US" w:eastAsia="zh-CN"/>
        </w:rPr>
        <w:t>水站</w:t>
      </w:r>
      <w:r>
        <w:rPr>
          <w:rFonts w:hint="eastAsia" w:ascii="宋体" w:hAnsi="宋体" w:eastAsia="宋体" w:cs="宋体"/>
          <w:color w:val="000000"/>
          <w:sz w:val="24"/>
          <w:szCs w:val="24"/>
          <w:highlight w:val="none"/>
          <w:lang w:val="zh-TW" w:eastAsia="zh-TW"/>
        </w:rPr>
        <w:t>水池</w:t>
      </w:r>
      <w:r>
        <w:rPr>
          <w:rFonts w:hint="eastAsia" w:ascii="宋体" w:hAnsi="宋体" w:eastAsia="宋体" w:cs="宋体"/>
          <w:color w:val="000000"/>
          <w:sz w:val="24"/>
          <w:szCs w:val="24"/>
          <w:highlight w:val="none"/>
          <w:lang w:val="en-US" w:eastAsia="zh-CN"/>
        </w:rPr>
        <w:t>需及时</w:t>
      </w:r>
      <w:r>
        <w:rPr>
          <w:rFonts w:hint="eastAsia" w:ascii="宋体" w:hAnsi="宋体" w:eastAsia="宋体" w:cs="宋体"/>
          <w:color w:val="000000"/>
          <w:sz w:val="24"/>
          <w:szCs w:val="24"/>
          <w:highlight w:val="none"/>
          <w:lang w:val="zh-TW" w:eastAsia="zh-TW"/>
        </w:rPr>
        <w:t>清理，每</w:t>
      </w:r>
      <w:r>
        <w:rPr>
          <w:rFonts w:hint="eastAsia" w:ascii="宋体" w:hAnsi="宋体" w:eastAsia="宋体" w:cs="宋体"/>
          <w:color w:val="000000"/>
          <w:sz w:val="24"/>
          <w:szCs w:val="24"/>
          <w:highlight w:val="none"/>
          <w:lang w:val="en-US" w:eastAsia="zh-CN"/>
        </w:rPr>
        <w:t>月</w:t>
      </w:r>
      <w:r>
        <w:rPr>
          <w:rFonts w:hint="eastAsia" w:ascii="宋体" w:hAnsi="宋体" w:eastAsia="宋体" w:cs="宋体"/>
          <w:color w:val="000000"/>
          <w:sz w:val="24"/>
          <w:szCs w:val="24"/>
          <w:highlight w:val="none"/>
          <w:lang w:val="zh-TW" w:eastAsia="zh-TW"/>
        </w:rPr>
        <w:t>至少</w:t>
      </w:r>
      <w:r>
        <w:rPr>
          <w:rFonts w:hint="eastAsia" w:ascii="宋体" w:hAnsi="宋体" w:eastAsia="宋体" w:cs="宋体"/>
          <w:color w:val="000000"/>
          <w:sz w:val="24"/>
          <w:szCs w:val="24"/>
          <w:highlight w:val="none"/>
          <w:lang w:val="en-US" w:eastAsia="zh-CN"/>
        </w:rPr>
        <w:t>一</w:t>
      </w:r>
      <w:r>
        <w:rPr>
          <w:rFonts w:hint="eastAsia" w:ascii="宋体" w:hAnsi="宋体" w:eastAsia="宋体" w:cs="宋体"/>
          <w:color w:val="000000"/>
          <w:sz w:val="24"/>
          <w:szCs w:val="24"/>
          <w:highlight w:val="none"/>
          <w:lang w:val="zh-TW" w:eastAsia="zh-TW"/>
        </w:rPr>
        <w:t>次，清理出的污泥、漂浮物，</w:t>
      </w:r>
      <w:r>
        <w:rPr>
          <w:rFonts w:hint="eastAsia" w:ascii="宋体" w:hAnsi="宋体" w:eastAsia="宋体" w:cs="宋体"/>
          <w:color w:val="000000"/>
          <w:sz w:val="24"/>
          <w:szCs w:val="24"/>
          <w:highlight w:val="none"/>
          <w:lang w:val="en-US" w:eastAsia="zh-CN"/>
        </w:rPr>
        <w:t>运维方</w:t>
      </w:r>
      <w:r>
        <w:rPr>
          <w:rFonts w:hint="eastAsia" w:ascii="宋体" w:hAnsi="宋体" w:eastAsia="宋体" w:cs="宋体"/>
          <w:color w:val="000000"/>
          <w:sz w:val="24"/>
          <w:szCs w:val="24"/>
          <w:highlight w:val="none"/>
          <w:lang w:val="zh-TW" w:eastAsia="zh-TW"/>
        </w:rPr>
        <w:t>统一</w:t>
      </w:r>
      <w:r>
        <w:rPr>
          <w:rFonts w:hint="eastAsia" w:ascii="宋体" w:hAnsi="宋体" w:eastAsia="宋体" w:cs="宋体"/>
          <w:color w:val="000000"/>
          <w:sz w:val="24"/>
          <w:szCs w:val="24"/>
          <w:highlight w:val="none"/>
          <w:lang w:val="en-US" w:eastAsia="zh-CN"/>
        </w:rPr>
        <w:t>按国家环保要求进行</w:t>
      </w:r>
      <w:r>
        <w:rPr>
          <w:rFonts w:hint="eastAsia" w:ascii="宋体" w:hAnsi="宋体" w:eastAsia="宋体" w:cs="宋体"/>
          <w:color w:val="000000"/>
          <w:sz w:val="24"/>
          <w:szCs w:val="24"/>
          <w:highlight w:val="none"/>
          <w:lang w:val="zh-TW" w:eastAsia="zh-TW"/>
        </w:rPr>
        <w:t>处理。</w:t>
      </w:r>
      <w:r>
        <w:rPr>
          <w:rFonts w:hint="eastAsia" w:ascii="宋体" w:hAnsi="宋体" w:eastAsia="宋体" w:cs="宋体"/>
          <w:color w:val="000000"/>
          <w:sz w:val="24"/>
          <w:szCs w:val="24"/>
          <w:highlight w:val="none"/>
          <w:lang w:val="en-US" w:eastAsia="zh-CN"/>
        </w:rPr>
        <w:t>乙方负责</w:t>
      </w:r>
      <w:r>
        <w:rPr>
          <w:rFonts w:hint="eastAsia" w:ascii="宋体" w:hAnsi="宋体" w:eastAsia="宋体" w:cs="宋体"/>
          <w:color w:val="000000"/>
          <w:sz w:val="24"/>
          <w:szCs w:val="24"/>
          <w:highlight w:val="none"/>
          <w:lang w:val="zh-TW" w:eastAsia="zh-TW"/>
        </w:rPr>
        <w:t>污泥清掏、压榨、上药处理</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en-US" w:eastAsia="zh-CN"/>
        </w:rPr>
        <w:t>并提供检合规检测报告</w:t>
      </w:r>
      <w:r>
        <w:rPr>
          <w:rFonts w:hint="eastAsia" w:ascii="宋体" w:hAnsi="宋体" w:eastAsia="宋体" w:cs="宋体"/>
          <w:color w:val="000000"/>
          <w:sz w:val="24"/>
          <w:szCs w:val="24"/>
          <w:highlight w:val="none"/>
          <w:lang w:val="zh-TW" w:eastAsia="zh-TW"/>
        </w:rPr>
        <w:t>。</w:t>
      </w:r>
    </w:p>
    <w:p w14:paraId="74E3F5E9">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第四条：乙方负责</w:t>
      </w:r>
      <w:r>
        <w:rPr>
          <w:rFonts w:hint="eastAsia" w:ascii="宋体" w:hAnsi="宋体" w:eastAsia="宋体" w:cs="宋体"/>
          <w:color w:val="000000"/>
          <w:sz w:val="24"/>
          <w:szCs w:val="24"/>
          <w:highlight w:val="none"/>
          <w:lang w:val="en-US" w:eastAsia="zh-CN"/>
        </w:rPr>
        <w:t>采购污水处理过程中添加相关药剂</w:t>
      </w:r>
      <w:r>
        <w:rPr>
          <w:rFonts w:hint="eastAsia" w:ascii="宋体" w:hAnsi="宋体" w:eastAsia="宋体" w:cs="宋体"/>
          <w:color w:val="000000"/>
          <w:sz w:val="24"/>
          <w:szCs w:val="24"/>
          <w:highlight w:val="none"/>
          <w:lang w:val="zh-TW" w:eastAsia="zh-TW"/>
        </w:rPr>
        <w:t>，并负责</w:t>
      </w:r>
      <w:r>
        <w:rPr>
          <w:rFonts w:hint="eastAsia" w:ascii="宋体" w:hAnsi="宋体" w:eastAsia="宋体" w:cs="宋体"/>
          <w:color w:val="000000"/>
          <w:sz w:val="24"/>
          <w:szCs w:val="24"/>
          <w:highlight w:val="none"/>
          <w:lang w:val="en-US" w:eastAsia="zh-CN"/>
        </w:rPr>
        <w:t>前往</w:t>
      </w:r>
      <w:r>
        <w:rPr>
          <w:rFonts w:hint="eastAsia" w:ascii="宋体" w:hAnsi="宋体" w:eastAsia="宋体" w:cs="宋体"/>
          <w:color w:val="000000"/>
          <w:sz w:val="24"/>
          <w:szCs w:val="24"/>
          <w:highlight w:val="none"/>
          <w:lang w:val="zh-TW" w:eastAsia="zh-TW"/>
        </w:rPr>
        <w:t>公安相关管理部门的报审及审批协调工作，还负责危废管理(包括但不限于危废间管理、试验废液收集及存放</w:t>
      </w:r>
      <w:r>
        <w:rPr>
          <w:rFonts w:hint="eastAsia" w:ascii="宋体" w:hAnsi="宋体" w:eastAsia="宋体" w:cs="宋体"/>
          <w:color w:val="000000"/>
          <w:sz w:val="24"/>
          <w:szCs w:val="24"/>
          <w:highlight w:val="none"/>
          <w:lang w:val="en-US" w:eastAsia="zh-CN"/>
        </w:rPr>
        <w:t>处理</w:t>
      </w:r>
      <w:r>
        <w:rPr>
          <w:rFonts w:hint="eastAsia" w:ascii="宋体" w:hAnsi="宋体" w:eastAsia="宋体" w:cs="宋体"/>
          <w:color w:val="000000"/>
          <w:sz w:val="24"/>
          <w:szCs w:val="24"/>
          <w:highlight w:val="none"/>
          <w:lang w:val="zh-TW" w:eastAsia="zh-TW"/>
        </w:rPr>
        <w:t>等)以及危险化学品管理；</w:t>
      </w:r>
    </w:p>
    <w:p w14:paraId="66181F03">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val="zh-TW" w:eastAsia="zh-CN"/>
        </w:rPr>
      </w:pPr>
      <w:r>
        <w:rPr>
          <w:rFonts w:hint="eastAsia" w:ascii="宋体" w:hAnsi="宋体" w:eastAsia="宋体" w:cs="宋体"/>
          <w:color w:val="000000"/>
          <w:sz w:val="24"/>
          <w:szCs w:val="24"/>
          <w:highlight w:val="none"/>
          <w:lang w:val="zh-TW" w:eastAsia="zh-TW"/>
        </w:rPr>
        <w:t>第五条：</w:t>
      </w:r>
      <w:r>
        <w:rPr>
          <w:rFonts w:hint="eastAsia" w:ascii="宋体" w:hAnsi="宋体" w:eastAsia="宋体" w:cs="宋体"/>
          <w:color w:val="auto"/>
          <w:sz w:val="24"/>
          <w:szCs w:val="24"/>
          <w:highlight w:val="none"/>
          <w:lang w:val="en-US" w:eastAsia="zh-CN"/>
        </w:rPr>
        <w:t>污水站运营全权交由乙方负责，</w:t>
      </w:r>
      <w:r>
        <w:rPr>
          <w:rFonts w:hint="eastAsia" w:ascii="宋体" w:hAnsi="宋体" w:eastAsia="宋体" w:cs="宋体"/>
          <w:color w:val="auto"/>
          <w:sz w:val="24"/>
          <w:szCs w:val="24"/>
          <w:highlight w:val="none"/>
          <w:lang w:val="zh-TW" w:eastAsia="zh-TW"/>
        </w:rPr>
        <w:t>乙方提供的</w:t>
      </w:r>
      <w:r>
        <w:rPr>
          <w:rFonts w:hint="eastAsia" w:ascii="宋体" w:hAnsi="宋体" w:eastAsia="宋体" w:cs="宋体"/>
          <w:color w:val="auto"/>
          <w:sz w:val="24"/>
          <w:szCs w:val="24"/>
          <w:highlight w:val="none"/>
          <w:lang w:val="en-US" w:eastAsia="zh-CN"/>
        </w:rPr>
        <w:t>运营管理</w:t>
      </w:r>
      <w:r>
        <w:rPr>
          <w:rFonts w:hint="eastAsia" w:ascii="宋体" w:hAnsi="宋体" w:eastAsia="宋体" w:cs="宋体"/>
          <w:color w:val="auto"/>
          <w:sz w:val="24"/>
          <w:szCs w:val="24"/>
          <w:highlight w:val="none"/>
          <w:lang w:val="zh-TW" w:eastAsia="zh-TW"/>
        </w:rPr>
        <w:t>服务应达到环保部门对污水</w:t>
      </w:r>
      <w:r>
        <w:rPr>
          <w:rFonts w:hint="eastAsia" w:ascii="宋体" w:hAnsi="宋体" w:eastAsia="宋体" w:cs="宋体"/>
          <w:color w:val="auto"/>
          <w:sz w:val="24"/>
          <w:szCs w:val="24"/>
          <w:highlight w:val="none"/>
          <w:lang w:val="en-US" w:eastAsia="zh-CN"/>
        </w:rPr>
        <w:t>站运行管理及污水</w:t>
      </w:r>
      <w:r>
        <w:rPr>
          <w:rFonts w:hint="eastAsia" w:ascii="宋体" w:hAnsi="宋体" w:eastAsia="宋体" w:cs="宋体"/>
          <w:color w:val="auto"/>
          <w:sz w:val="24"/>
          <w:szCs w:val="24"/>
          <w:highlight w:val="none"/>
          <w:lang w:val="zh-TW" w:eastAsia="zh-TW"/>
        </w:rPr>
        <w:t>排放的</w:t>
      </w:r>
      <w:r>
        <w:rPr>
          <w:rFonts w:hint="eastAsia" w:ascii="宋体" w:hAnsi="宋体" w:eastAsia="宋体" w:cs="宋体"/>
          <w:color w:val="auto"/>
          <w:sz w:val="24"/>
          <w:szCs w:val="24"/>
          <w:highlight w:val="none"/>
          <w:lang w:val="en-US" w:eastAsia="zh-CN"/>
        </w:rPr>
        <w:t>现行最新</w:t>
      </w:r>
      <w:r>
        <w:rPr>
          <w:rFonts w:hint="eastAsia" w:ascii="宋体" w:hAnsi="宋体" w:eastAsia="宋体" w:cs="宋体"/>
          <w:color w:val="auto"/>
          <w:sz w:val="24"/>
          <w:szCs w:val="24"/>
          <w:highlight w:val="none"/>
          <w:lang w:val="zh-TW" w:eastAsia="zh-TW"/>
        </w:rPr>
        <w:t>标准</w:t>
      </w:r>
      <w:r>
        <w:rPr>
          <w:rFonts w:hint="eastAsia" w:ascii="宋体" w:hAnsi="宋体" w:eastAsia="宋体" w:cs="宋体"/>
          <w:color w:val="auto"/>
          <w:sz w:val="24"/>
          <w:szCs w:val="24"/>
          <w:highlight w:val="none"/>
          <w:lang w:val="zh-TW" w:eastAsia="zh-CN"/>
        </w:rPr>
        <w:t>。</w:t>
      </w:r>
    </w:p>
    <w:p w14:paraId="75749FF3">
      <w:pPr>
        <w:pageBreakBefore w:val="0"/>
        <w:widowControl w:val="0"/>
        <w:kinsoku/>
        <w:wordWrap/>
        <w:overflowPunct/>
        <w:topLinePunct w:val="0"/>
        <w:autoSpaceDE/>
        <w:autoSpaceDN/>
        <w:bidi w:val="0"/>
        <w:adjustRightInd w:val="0"/>
        <w:snapToGrid w:val="0"/>
        <w:spacing w:line="360" w:lineRule="auto"/>
        <w:ind w:left="0" w:leftChars="0" w:firstLine="480" w:firstLineChars="200"/>
        <w:rPr>
          <w:rFonts w:hint="eastAsia" w:ascii="宋体" w:hAnsi="宋体" w:eastAsia="宋体" w:cs="宋体"/>
          <w:color w:val="auto"/>
          <w:sz w:val="24"/>
          <w:szCs w:val="24"/>
          <w:highlight w:val="none"/>
          <w:lang w:val="zh-TW" w:eastAsia="zh-CN"/>
        </w:rPr>
      </w:pPr>
      <w:r>
        <w:rPr>
          <w:rFonts w:hint="eastAsia" w:ascii="宋体" w:hAnsi="宋体" w:eastAsia="宋体" w:cs="宋体"/>
          <w:color w:val="auto"/>
          <w:sz w:val="24"/>
          <w:szCs w:val="24"/>
          <w:highlight w:val="none"/>
          <w:lang w:val="zh-TW" w:eastAsia="zh-TW"/>
        </w:rPr>
        <w:t>第六条：乙方提供的管理服务应达到国家和地方现行标准及招标文件中的管理要求，如因营运</w:t>
      </w:r>
      <w:r>
        <w:rPr>
          <w:rFonts w:hint="eastAsia" w:ascii="宋体" w:hAnsi="宋体" w:eastAsia="宋体" w:cs="宋体"/>
          <w:color w:val="auto"/>
          <w:sz w:val="24"/>
          <w:szCs w:val="24"/>
          <w:highlight w:val="none"/>
          <w:lang w:val="en-US" w:eastAsia="zh-CN"/>
        </w:rPr>
        <w:t>管理及排放</w:t>
      </w:r>
      <w:r>
        <w:rPr>
          <w:rFonts w:hint="eastAsia" w:ascii="宋体" w:hAnsi="宋体" w:eastAsia="宋体" w:cs="宋体"/>
          <w:color w:val="auto"/>
          <w:sz w:val="24"/>
          <w:szCs w:val="24"/>
          <w:highlight w:val="none"/>
          <w:lang w:val="zh-TW" w:eastAsia="zh-TW"/>
        </w:rPr>
        <w:t>水质</w:t>
      </w:r>
      <w:r>
        <w:rPr>
          <w:rFonts w:hint="eastAsia" w:ascii="宋体" w:hAnsi="宋体" w:eastAsia="宋体" w:cs="宋体"/>
          <w:color w:val="auto"/>
          <w:sz w:val="24"/>
          <w:szCs w:val="24"/>
          <w:highlight w:val="none"/>
          <w:lang w:val="en-US" w:eastAsia="zh-CN"/>
        </w:rPr>
        <w:t>不符合</w:t>
      </w:r>
      <w:r>
        <w:rPr>
          <w:rFonts w:hint="eastAsia" w:ascii="宋体" w:hAnsi="宋体" w:eastAsia="宋体" w:cs="宋体"/>
          <w:color w:val="auto"/>
          <w:sz w:val="24"/>
          <w:szCs w:val="24"/>
          <w:highlight w:val="none"/>
          <w:lang w:val="zh-TW" w:eastAsia="zh-TW"/>
        </w:rPr>
        <w:t>环保部门对污水</w:t>
      </w:r>
      <w:r>
        <w:rPr>
          <w:rFonts w:hint="eastAsia" w:ascii="宋体" w:hAnsi="宋体" w:eastAsia="宋体" w:cs="宋体"/>
          <w:color w:val="auto"/>
          <w:sz w:val="24"/>
          <w:szCs w:val="24"/>
          <w:highlight w:val="none"/>
          <w:lang w:val="en-US" w:eastAsia="zh-CN"/>
        </w:rPr>
        <w:t>站运营管理要求或排放水质</w:t>
      </w:r>
      <w:r>
        <w:rPr>
          <w:rFonts w:hint="eastAsia" w:ascii="宋体" w:hAnsi="宋体" w:eastAsia="宋体" w:cs="宋体"/>
          <w:color w:val="auto"/>
          <w:sz w:val="24"/>
          <w:szCs w:val="24"/>
          <w:highlight w:val="none"/>
          <w:lang w:val="zh-TW" w:eastAsia="zh-TW"/>
        </w:rPr>
        <w:t>不符合</w:t>
      </w:r>
      <w:r>
        <w:rPr>
          <w:rFonts w:hint="eastAsia" w:ascii="宋体" w:hAnsi="宋体" w:eastAsia="宋体" w:cs="宋体"/>
          <w:color w:val="auto"/>
          <w:sz w:val="24"/>
          <w:szCs w:val="24"/>
          <w:highlight w:val="none"/>
          <w:lang w:val="en-US" w:eastAsia="zh-CN"/>
        </w:rPr>
        <w:t>环保部门排放要求的</w:t>
      </w:r>
      <w:r>
        <w:rPr>
          <w:rFonts w:hint="eastAsia" w:ascii="宋体" w:hAnsi="宋体" w:eastAsia="宋体" w:cs="宋体"/>
          <w:color w:val="auto"/>
          <w:sz w:val="24"/>
          <w:szCs w:val="24"/>
          <w:highlight w:val="none"/>
          <w:lang w:val="zh-TW" w:eastAsia="zh-TW"/>
        </w:rPr>
        <w:t>，由乙方承担所有法律及经济责任</w:t>
      </w:r>
      <w:r>
        <w:rPr>
          <w:rFonts w:hint="eastAsia" w:ascii="宋体" w:hAnsi="宋体" w:eastAsia="宋体" w:cs="宋体"/>
          <w:color w:val="auto"/>
          <w:sz w:val="24"/>
          <w:szCs w:val="24"/>
          <w:highlight w:val="none"/>
          <w:lang w:val="en-US" w:eastAsia="zh-CN"/>
        </w:rPr>
        <w:t>，对甲方造成的经济损失及相应处罚由乙方全额承担，对甲方造成名誉损失乙方须进行赔偿。</w:t>
      </w:r>
    </w:p>
    <w:p w14:paraId="19DC79B4">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val="zh-TW" w:eastAsia="zh-TW"/>
        </w:rPr>
      </w:pPr>
      <w:r>
        <w:rPr>
          <w:rFonts w:hint="eastAsia" w:ascii="宋体" w:hAnsi="宋体" w:eastAsia="宋体" w:cs="宋体"/>
          <w:color w:val="auto"/>
          <w:sz w:val="24"/>
          <w:szCs w:val="24"/>
          <w:highlight w:val="none"/>
          <w:lang w:val="zh-TW" w:eastAsia="zh-TW"/>
        </w:rPr>
        <w:t>第七条：乙方不得将本项目管理服务进行分包或转包。</w:t>
      </w:r>
    </w:p>
    <w:p w14:paraId="500FE5B5">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第八条：</w:t>
      </w:r>
      <w:r>
        <w:rPr>
          <w:rFonts w:hint="eastAsia" w:ascii="宋体" w:hAnsi="宋体" w:eastAsia="宋体" w:cs="宋体"/>
          <w:color w:val="000000"/>
          <w:sz w:val="24"/>
          <w:szCs w:val="24"/>
          <w:highlight w:val="none"/>
          <w:lang w:val="en-US" w:eastAsia="zh-CN"/>
        </w:rPr>
        <w:t>竞争性磋商</w:t>
      </w:r>
      <w:r>
        <w:rPr>
          <w:rFonts w:hint="eastAsia" w:ascii="宋体" w:hAnsi="宋体" w:eastAsia="宋体" w:cs="宋体"/>
          <w:color w:val="000000"/>
          <w:sz w:val="24"/>
          <w:szCs w:val="24"/>
          <w:highlight w:val="none"/>
          <w:lang w:val="zh-TW" w:eastAsia="zh-TW"/>
        </w:rPr>
        <w:t>文件为本合同的必备附件之一。</w:t>
      </w:r>
    </w:p>
    <w:p w14:paraId="06F3B9CF">
      <w:pPr>
        <w:pStyle w:val="2"/>
        <w:pageBreakBefore w:val="0"/>
        <w:widowControl w:val="0"/>
        <w:kinsoku/>
        <w:wordWrap/>
        <w:overflowPunct/>
        <w:topLinePunct w:val="0"/>
        <w:autoSpaceDE/>
        <w:autoSpaceDN/>
        <w:bidi w:val="0"/>
        <w:adjustRightInd w:val="0"/>
        <w:snapToGrid w:val="0"/>
        <w:spacing w:line="360" w:lineRule="auto"/>
        <w:ind w:firstLine="482" w:firstLineChars="200"/>
        <w:rPr>
          <w:rFonts w:hint="eastAsia" w:ascii="宋体" w:hAnsi="宋体" w:eastAsia="宋体" w:cs="宋体"/>
          <w:color w:val="000000"/>
          <w:sz w:val="24"/>
          <w:szCs w:val="24"/>
          <w:highlight w:val="none"/>
          <w:lang w:val="zh-TW" w:eastAsia="zh-TW"/>
        </w:rPr>
      </w:pPr>
      <w:bookmarkStart w:id="10" w:name="bookmark9"/>
      <w:bookmarkStart w:id="11" w:name="bookmark11"/>
      <w:bookmarkStart w:id="12" w:name="bookmark10"/>
      <w:r>
        <w:rPr>
          <w:rFonts w:hint="eastAsia" w:ascii="宋体" w:hAnsi="宋体" w:eastAsia="宋体" w:cs="宋体"/>
          <w:color w:val="000000"/>
          <w:sz w:val="24"/>
          <w:szCs w:val="24"/>
          <w:highlight w:val="none"/>
          <w:lang w:val="zh-TW" w:eastAsia="zh-TW"/>
        </w:rPr>
        <w:t>第三章服务费用</w:t>
      </w:r>
      <w:bookmarkEnd w:id="10"/>
      <w:bookmarkEnd w:id="11"/>
      <w:bookmarkEnd w:id="12"/>
    </w:p>
    <w:p w14:paraId="71E8B488">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第九条 本合同约定的服务费为包干制，即人民币（大写）：</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single"/>
          <w:lang w:val="zh-TW" w:eastAsia="zh-CN"/>
        </w:rPr>
        <w:t>元</w:t>
      </w:r>
      <w:r>
        <w:rPr>
          <w:rFonts w:hint="eastAsia" w:ascii="宋体" w:hAnsi="宋体" w:eastAsia="宋体" w:cs="宋体"/>
          <w:color w:val="000000"/>
          <w:sz w:val="24"/>
          <w:szCs w:val="24"/>
          <w:highlight w:val="none"/>
          <w:u w:val="single"/>
          <w:lang w:val="zh-TW" w:eastAsia="zh-TW"/>
        </w:rPr>
        <w:t>整</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zh-TW" w:eastAsia="zh-TW"/>
        </w:rPr>
        <w:t>小写：</w:t>
      </w:r>
      <w:r>
        <w:rPr>
          <w:rFonts w:hint="eastAsia" w:ascii="宋体" w:hAnsi="宋体" w:eastAsia="宋体" w:cs="宋体"/>
          <w:color w:val="000000"/>
          <w:sz w:val="24"/>
          <w:szCs w:val="24"/>
          <w:highlight w:val="none"/>
          <w:u w:val="single"/>
          <w:lang w:val="zh-TW" w:eastAsia="zh-TW"/>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u w:val="none"/>
          <w:lang w:val="zh-TW" w:eastAsia="zh-TW"/>
        </w:rPr>
        <w:t>元/年</w:t>
      </w:r>
      <w:r>
        <w:rPr>
          <w:rFonts w:hint="eastAsia" w:ascii="宋体" w:hAnsi="宋体" w:eastAsia="宋体" w:cs="宋体"/>
          <w:color w:val="000000"/>
          <w:sz w:val="24"/>
          <w:szCs w:val="24"/>
          <w:highlight w:val="none"/>
          <w:lang w:val="zh-TW" w:eastAsia="zh-TW"/>
        </w:rPr>
        <w:t>。</w:t>
      </w:r>
    </w:p>
    <w:p w14:paraId="4D2BD6B0">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bookmarkStart w:id="13" w:name="bookmark12"/>
      <w:r>
        <w:rPr>
          <w:rFonts w:hint="eastAsia" w:ascii="宋体" w:hAnsi="宋体" w:eastAsia="宋体" w:cs="宋体"/>
          <w:color w:val="000000"/>
          <w:sz w:val="24"/>
          <w:szCs w:val="24"/>
          <w:highlight w:val="none"/>
          <w:lang w:val="zh-TW" w:eastAsia="zh-TW"/>
        </w:rPr>
        <w:t>1</w:t>
      </w:r>
      <w:bookmarkEnd w:id="13"/>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支付方式：银行转账，以人民币结算付款。</w:t>
      </w:r>
    </w:p>
    <w:p w14:paraId="0A896D18">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bookmarkStart w:id="14" w:name="bookmark13"/>
      <w:r>
        <w:rPr>
          <w:rFonts w:hint="eastAsia" w:ascii="宋体" w:hAnsi="宋体" w:eastAsia="宋体" w:cs="宋体"/>
          <w:color w:val="000000"/>
          <w:sz w:val="24"/>
          <w:szCs w:val="24"/>
          <w:highlight w:val="none"/>
          <w:lang w:val="zh-TW" w:eastAsia="zh-TW"/>
        </w:rPr>
        <w:t>2</w:t>
      </w:r>
      <w:bookmarkEnd w:id="14"/>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eastAsia="zh-CN"/>
        </w:rPr>
        <w:t>结算方式</w:t>
      </w:r>
      <w:r>
        <w:rPr>
          <w:rFonts w:hint="eastAsia" w:ascii="宋体" w:hAnsi="宋体" w:eastAsia="宋体" w:cs="宋体"/>
          <w:color w:val="000000"/>
          <w:sz w:val="24"/>
          <w:szCs w:val="24"/>
          <w:highlight w:val="none"/>
          <w:lang w:val="zh-TW" w:eastAsia="zh-TW"/>
        </w:rPr>
        <w:t>：合同总价款分四次，按照季度支付（三个月）。首次结算日期为</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zh-TW" w:eastAsia="zh-CN"/>
        </w:rPr>
        <w:t>月</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lang w:val="zh-TW" w:eastAsia="zh-CN"/>
        </w:rPr>
        <w:t>日，以此类推。</w:t>
      </w:r>
      <w:r>
        <w:rPr>
          <w:rFonts w:hint="eastAsia" w:ascii="宋体" w:hAnsi="宋体" w:eastAsia="宋体" w:cs="宋体"/>
          <w:color w:val="000000"/>
          <w:sz w:val="24"/>
          <w:szCs w:val="24"/>
          <w:highlight w:val="none"/>
          <w:lang w:val="zh-TW" w:eastAsia="zh-TW"/>
        </w:rPr>
        <w:t>每季度</w:t>
      </w:r>
      <w:r>
        <w:rPr>
          <w:rFonts w:hint="eastAsia" w:ascii="宋体" w:hAnsi="宋体" w:eastAsia="宋体" w:cs="宋体"/>
          <w:color w:val="000000"/>
          <w:sz w:val="24"/>
          <w:szCs w:val="24"/>
          <w:highlight w:val="none"/>
          <w:lang w:eastAsia="zh-CN"/>
        </w:rPr>
        <w:t>末根据考核内容，提供考评表，</w:t>
      </w:r>
      <w:r>
        <w:rPr>
          <w:rFonts w:hint="eastAsia" w:ascii="宋体" w:hAnsi="宋体" w:eastAsia="宋体" w:cs="宋体"/>
          <w:color w:val="000000"/>
          <w:sz w:val="24"/>
          <w:szCs w:val="24"/>
          <w:highlight w:val="none"/>
          <w:lang w:val="zh-TW" w:eastAsia="zh-TW"/>
        </w:rPr>
        <w:t>考评合格且设备运行正常，</w:t>
      </w:r>
      <w:r>
        <w:rPr>
          <w:rFonts w:hint="eastAsia" w:ascii="宋体" w:hAnsi="宋体" w:eastAsia="宋体" w:cs="宋体"/>
          <w:color w:val="000000"/>
          <w:sz w:val="24"/>
          <w:szCs w:val="24"/>
          <w:highlight w:val="none"/>
          <w:lang w:eastAsia="zh-CN"/>
        </w:rPr>
        <w:t>无</w:t>
      </w:r>
      <w:r>
        <w:rPr>
          <w:rFonts w:hint="eastAsia" w:ascii="宋体" w:hAnsi="宋体" w:eastAsia="宋体" w:cs="宋体"/>
          <w:color w:val="000000"/>
          <w:sz w:val="24"/>
          <w:szCs w:val="24"/>
          <w:highlight w:val="none"/>
          <w:lang w:val="zh-TW" w:eastAsia="zh-TW"/>
        </w:rPr>
        <w:t>政府部门相关处罚，由乙方开具国家正式发票</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eastAsia="zh-CN"/>
        </w:rPr>
        <w:t>甲方在办理完院内付款手续后，以银行转账方式支付</w:t>
      </w:r>
      <w:r>
        <w:rPr>
          <w:rFonts w:hint="eastAsia" w:ascii="宋体" w:hAnsi="宋体" w:eastAsia="宋体" w:cs="宋体"/>
          <w:color w:val="000000"/>
          <w:sz w:val="24"/>
          <w:szCs w:val="24"/>
          <w:highlight w:val="none"/>
          <w:lang w:val="zh-TW" w:eastAsia="zh-TW"/>
        </w:rPr>
        <w:t>合同总价款标的25%</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zh-TW" w:eastAsia="zh-TW"/>
        </w:rPr>
        <w:t>如在服务期限内</w:t>
      </w:r>
      <w:r>
        <w:rPr>
          <w:rFonts w:hint="eastAsia" w:ascii="宋体" w:hAnsi="宋体" w:eastAsia="宋体" w:cs="宋体"/>
          <w:color w:val="000000"/>
          <w:sz w:val="24"/>
          <w:szCs w:val="24"/>
          <w:highlight w:val="none"/>
          <w:lang w:eastAsia="zh-CN"/>
        </w:rPr>
        <w:t>因</w:t>
      </w:r>
      <w:r>
        <w:rPr>
          <w:rFonts w:hint="eastAsia" w:ascii="宋体" w:hAnsi="宋体" w:eastAsia="宋体" w:cs="宋体"/>
          <w:color w:val="000000"/>
          <w:sz w:val="24"/>
          <w:szCs w:val="24"/>
          <w:highlight w:val="none"/>
          <w:lang w:val="zh-TW" w:eastAsia="zh-TW"/>
        </w:rPr>
        <w:t>乙方原因导致发生安全</w:t>
      </w:r>
      <w:r>
        <w:rPr>
          <w:rFonts w:hint="eastAsia" w:ascii="宋体" w:hAnsi="宋体" w:eastAsia="宋体" w:cs="宋体"/>
          <w:color w:val="000000"/>
          <w:sz w:val="24"/>
          <w:szCs w:val="24"/>
          <w:highlight w:val="none"/>
          <w:lang w:val="zh-TW" w:eastAsia="zh-CN"/>
        </w:rPr>
        <w:t>事故</w:t>
      </w:r>
      <w:r>
        <w:rPr>
          <w:rFonts w:hint="eastAsia" w:ascii="宋体" w:hAnsi="宋体" w:eastAsia="宋体" w:cs="宋体"/>
          <w:color w:val="000000"/>
          <w:sz w:val="24"/>
          <w:szCs w:val="24"/>
          <w:highlight w:val="none"/>
          <w:lang w:val="zh-TW" w:eastAsia="zh-TW"/>
        </w:rPr>
        <w:t>，甲方有权单方面无条件</w:t>
      </w:r>
      <w:r>
        <w:rPr>
          <w:rFonts w:hint="eastAsia" w:ascii="宋体" w:hAnsi="宋体" w:eastAsia="宋体" w:cs="宋体"/>
          <w:color w:val="000000"/>
          <w:sz w:val="24"/>
          <w:szCs w:val="24"/>
          <w:highlight w:val="none"/>
          <w:lang w:val="zh-TW" w:eastAsia="zh-CN"/>
        </w:rPr>
        <w:t>解除</w:t>
      </w:r>
      <w:r>
        <w:rPr>
          <w:rFonts w:hint="eastAsia" w:ascii="宋体" w:hAnsi="宋体" w:eastAsia="宋体" w:cs="宋体"/>
          <w:color w:val="000000"/>
          <w:sz w:val="24"/>
          <w:szCs w:val="24"/>
          <w:highlight w:val="none"/>
          <w:lang w:val="zh-TW" w:eastAsia="zh-TW"/>
        </w:rPr>
        <w:t>合同，</w:t>
      </w:r>
      <w:r>
        <w:rPr>
          <w:rFonts w:hint="eastAsia" w:ascii="宋体" w:hAnsi="宋体" w:eastAsia="宋体" w:cs="宋体"/>
          <w:color w:val="000000"/>
          <w:sz w:val="24"/>
          <w:szCs w:val="24"/>
          <w:highlight w:val="none"/>
          <w:lang w:eastAsia="zh-CN"/>
        </w:rPr>
        <w:t>不予支付</w:t>
      </w:r>
      <w:r>
        <w:rPr>
          <w:rFonts w:hint="eastAsia" w:ascii="宋体" w:hAnsi="宋体" w:eastAsia="宋体" w:cs="宋体"/>
          <w:color w:val="000000"/>
          <w:sz w:val="24"/>
          <w:szCs w:val="24"/>
          <w:highlight w:val="none"/>
          <w:lang w:val="zh-TW" w:eastAsia="zh-CN"/>
        </w:rPr>
        <w:t>解除合同之日后的服务款项</w:t>
      </w:r>
      <w:r>
        <w:rPr>
          <w:rFonts w:hint="eastAsia" w:ascii="宋体" w:hAnsi="宋体" w:eastAsia="宋体" w:cs="宋体"/>
          <w:color w:val="000000"/>
          <w:sz w:val="24"/>
          <w:szCs w:val="24"/>
          <w:highlight w:val="none"/>
          <w:lang w:val="zh-TW" w:eastAsia="zh-TW"/>
        </w:rPr>
        <w:t>，</w:t>
      </w:r>
      <w:r>
        <w:rPr>
          <w:rFonts w:hint="eastAsia" w:ascii="宋体" w:hAnsi="宋体" w:eastAsia="宋体" w:cs="宋体"/>
          <w:color w:val="000000"/>
          <w:sz w:val="24"/>
          <w:szCs w:val="24"/>
          <w:highlight w:val="none"/>
          <w:lang w:eastAsia="zh-CN"/>
        </w:rPr>
        <w:t>由此给甲方造成损失的，乙方应承担全部赔偿责任</w:t>
      </w:r>
      <w:r>
        <w:rPr>
          <w:rFonts w:hint="eastAsia" w:ascii="宋体" w:hAnsi="宋体" w:eastAsia="宋体" w:cs="宋体"/>
          <w:color w:val="000000"/>
          <w:sz w:val="24"/>
          <w:szCs w:val="24"/>
          <w:highlight w:val="none"/>
          <w:lang w:val="zh-TW" w:eastAsia="zh-TW"/>
        </w:rPr>
        <w:t>。</w:t>
      </w:r>
    </w:p>
    <w:p w14:paraId="74E51624">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bookmarkStart w:id="15" w:name="bookmark14"/>
      <w:r>
        <w:rPr>
          <w:rFonts w:hint="eastAsia" w:ascii="宋体" w:hAnsi="宋体" w:eastAsia="宋体" w:cs="宋体"/>
          <w:color w:val="000000"/>
          <w:sz w:val="24"/>
          <w:szCs w:val="24"/>
          <w:highlight w:val="none"/>
          <w:lang w:val="zh-TW" w:eastAsia="zh-TW"/>
        </w:rPr>
        <w:t>3</w:t>
      </w:r>
      <w:bookmarkEnd w:id="15"/>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本合同为固定价格，不随市场变化而调整。本合同价格为含税价。乙方提供服务、消毒、絮凝等产品所发生的一切税（包括增值税）费、人员成本（含劳动保险、福利、加班、体检等）、 药剂费、劳保用品及办公用品费、</w:t>
      </w:r>
      <w:r>
        <w:rPr>
          <w:rFonts w:hint="eastAsia" w:ascii="宋体" w:hAnsi="宋体" w:eastAsia="宋体" w:cs="宋体"/>
          <w:color w:val="000000"/>
          <w:sz w:val="24"/>
          <w:szCs w:val="24"/>
          <w:highlight w:val="none"/>
          <w:lang w:val="en-US" w:eastAsia="zh-CN"/>
        </w:rPr>
        <w:t>设施</w:t>
      </w:r>
      <w:r>
        <w:rPr>
          <w:rFonts w:hint="eastAsia" w:ascii="宋体" w:hAnsi="宋体" w:eastAsia="宋体" w:cs="宋体"/>
          <w:color w:val="000000"/>
          <w:sz w:val="24"/>
          <w:szCs w:val="24"/>
          <w:highlight w:val="none"/>
          <w:lang w:val="zh-TW" w:eastAsia="zh-TW"/>
        </w:rPr>
        <w:t>设备维修保养</w:t>
      </w:r>
      <w:r>
        <w:rPr>
          <w:rFonts w:hint="eastAsia" w:ascii="宋体" w:hAnsi="宋体" w:eastAsia="宋体" w:cs="宋体"/>
          <w:color w:val="000000"/>
          <w:sz w:val="24"/>
          <w:szCs w:val="24"/>
          <w:highlight w:val="none"/>
          <w:lang w:val="en-US" w:eastAsia="zh-CN"/>
        </w:rPr>
        <w:t>及更换</w:t>
      </w:r>
      <w:r>
        <w:rPr>
          <w:rFonts w:hint="eastAsia" w:ascii="宋体" w:hAnsi="宋体" w:eastAsia="宋体" w:cs="宋体"/>
          <w:color w:val="000000"/>
          <w:sz w:val="24"/>
          <w:szCs w:val="24"/>
          <w:highlight w:val="none"/>
          <w:lang w:val="zh-TW" w:eastAsia="zh-TW"/>
        </w:rPr>
        <w:t>费（</w:t>
      </w:r>
      <w:r>
        <w:rPr>
          <w:rFonts w:hint="eastAsia" w:ascii="宋体" w:hAnsi="宋体" w:eastAsia="宋体" w:cs="宋体"/>
          <w:color w:val="000000"/>
          <w:sz w:val="24"/>
          <w:szCs w:val="24"/>
          <w:highlight w:val="none"/>
          <w:lang w:val="en-US" w:eastAsia="zh-CN"/>
        </w:rPr>
        <w:t>免费更换污水站内</w:t>
      </w:r>
      <w:r>
        <w:rPr>
          <w:rFonts w:hint="eastAsia" w:ascii="宋体" w:hAnsi="宋体" w:eastAsia="宋体" w:cs="宋体"/>
          <w:color w:val="000000"/>
          <w:sz w:val="24"/>
          <w:szCs w:val="24"/>
          <w:highlight w:val="none"/>
          <w:lang w:val="zh-TW" w:eastAsia="zh-CN"/>
        </w:rPr>
        <w:t>2</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lang w:val="zh-TW" w:eastAsia="zh-CN"/>
        </w:rPr>
        <w:t>00元以下</w:t>
      </w:r>
      <w:r>
        <w:rPr>
          <w:rFonts w:hint="eastAsia" w:ascii="宋体" w:hAnsi="宋体" w:eastAsia="宋体" w:cs="宋体"/>
          <w:color w:val="000000"/>
          <w:sz w:val="24"/>
          <w:szCs w:val="24"/>
          <w:highlight w:val="none"/>
          <w:lang w:val="en-US" w:eastAsia="zh-CN"/>
        </w:rPr>
        <w:t>设施、设备及</w:t>
      </w:r>
      <w:r>
        <w:rPr>
          <w:rFonts w:hint="eastAsia" w:ascii="宋体" w:hAnsi="宋体" w:eastAsia="宋体" w:cs="宋体"/>
          <w:color w:val="000000"/>
          <w:sz w:val="24"/>
          <w:szCs w:val="24"/>
          <w:highlight w:val="none"/>
          <w:lang w:val="zh-TW" w:eastAsia="zh-CN"/>
        </w:rPr>
        <w:t>配件</w:t>
      </w:r>
      <w:r>
        <w:rPr>
          <w:rFonts w:hint="eastAsia" w:ascii="宋体" w:hAnsi="宋体" w:eastAsia="宋体" w:cs="宋体"/>
          <w:color w:val="000000"/>
          <w:sz w:val="24"/>
          <w:szCs w:val="24"/>
          <w:highlight w:val="none"/>
          <w:lang w:val="zh-TW" w:eastAsia="zh-TW"/>
        </w:rPr>
        <w:t>）、设备校准费、保险费、利润、办理相关手续费等</w:t>
      </w:r>
      <w:r>
        <w:rPr>
          <w:rFonts w:hint="eastAsia" w:ascii="宋体" w:hAnsi="宋体" w:eastAsia="宋体" w:cs="宋体"/>
          <w:color w:val="000000"/>
          <w:sz w:val="24"/>
          <w:szCs w:val="24"/>
          <w:highlight w:val="none"/>
          <w:lang w:val="zh-TW" w:eastAsia="zh-CN"/>
        </w:rPr>
        <w:t>均</w:t>
      </w:r>
      <w:r>
        <w:rPr>
          <w:rFonts w:hint="eastAsia" w:ascii="宋体" w:hAnsi="宋体" w:eastAsia="宋体" w:cs="宋体"/>
          <w:color w:val="000000"/>
          <w:sz w:val="24"/>
          <w:szCs w:val="24"/>
          <w:highlight w:val="none"/>
          <w:lang w:val="zh-TW" w:eastAsia="zh-TW"/>
        </w:rPr>
        <w:t>已包含于合同价款中。</w:t>
      </w:r>
      <w:bookmarkStart w:id="16" w:name="bookmark15"/>
    </w:p>
    <w:bookmarkEnd w:id="16"/>
    <w:p w14:paraId="6AB77E6E">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水、电、气等能源费由甲方承担。</w:t>
      </w:r>
    </w:p>
    <w:p w14:paraId="3FEE8EF9">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运营建筑、设备、设施大修及设备更新改造等产生的相关费用</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zh-TW" w:eastAsia="zh-TW"/>
        </w:rPr>
        <w:t>以招标文件要求执行。</w:t>
      </w:r>
    </w:p>
    <w:p w14:paraId="2296D6A5">
      <w:pPr>
        <w:pStyle w:val="2"/>
        <w:pageBreakBefore w:val="0"/>
        <w:widowControl w:val="0"/>
        <w:kinsoku/>
        <w:wordWrap/>
        <w:overflowPunct/>
        <w:topLinePunct w:val="0"/>
        <w:autoSpaceDE/>
        <w:autoSpaceDN/>
        <w:bidi w:val="0"/>
        <w:adjustRightInd w:val="0"/>
        <w:snapToGrid w:val="0"/>
        <w:spacing w:line="360" w:lineRule="auto"/>
        <w:ind w:firstLine="482" w:firstLineChars="200"/>
        <w:rPr>
          <w:rFonts w:hint="eastAsia" w:ascii="宋体" w:hAnsi="宋体" w:eastAsia="宋体" w:cs="宋体"/>
          <w:color w:val="000000"/>
          <w:sz w:val="24"/>
          <w:szCs w:val="24"/>
          <w:highlight w:val="none"/>
          <w:lang w:val="zh-TW" w:eastAsia="zh-TW"/>
        </w:rPr>
      </w:pPr>
      <w:bookmarkStart w:id="17" w:name="bookmark19"/>
      <w:bookmarkStart w:id="18" w:name="bookmark20"/>
      <w:bookmarkStart w:id="19" w:name="bookmark18"/>
      <w:r>
        <w:rPr>
          <w:rFonts w:hint="eastAsia" w:ascii="宋体" w:hAnsi="宋体" w:eastAsia="宋体" w:cs="宋体"/>
          <w:color w:val="000000"/>
          <w:sz w:val="24"/>
          <w:szCs w:val="24"/>
          <w:highlight w:val="none"/>
          <w:lang w:val="zh-TW" w:eastAsia="zh-TW"/>
        </w:rPr>
        <w:t>第四章相关要求</w:t>
      </w:r>
      <w:bookmarkEnd w:id="17"/>
      <w:bookmarkEnd w:id="18"/>
      <w:bookmarkEnd w:id="19"/>
    </w:p>
    <w:p w14:paraId="1E1E07C7">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第十条双方应按照以下约定履行相关权利义务：</w:t>
      </w:r>
    </w:p>
    <w:p w14:paraId="4B8F86A8">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bookmarkStart w:id="20" w:name="bookmark21"/>
      <w:r>
        <w:rPr>
          <w:rFonts w:hint="eastAsia" w:ascii="宋体" w:hAnsi="宋体" w:eastAsia="宋体" w:cs="宋体"/>
          <w:color w:val="000000"/>
          <w:sz w:val="24"/>
          <w:szCs w:val="24"/>
          <w:highlight w:val="none"/>
          <w:lang w:val="zh-TW" w:eastAsia="zh-TW"/>
        </w:rPr>
        <w:t>1</w:t>
      </w:r>
      <w:bookmarkEnd w:id="20"/>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乙方应严格执行行业各项管理规范规定，严格执行污水处理工艺流程，确保现有医院污水站出水水质达标，并按照环保部门的要求做好污水站运行台账和各类记录，严格执行设备设施操作规程，加强设备巡查维护，保证污水处理系统正常运行，确保持证上岗人数及操作人员要求，符合环保主管部门要求，确保污水站出水水质、空气及噪声等项目的检测指标</w:t>
      </w:r>
      <w:r>
        <w:rPr>
          <w:rFonts w:hint="eastAsia" w:ascii="宋体" w:hAnsi="宋体" w:eastAsia="宋体" w:cs="宋体"/>
          <w:color w:val="000000"/>
          <w:sz w:val="24"/>
          <w:szCs w:val="24"/>
          <w:highlight w:val="none"/>
          <w:lang w:val="zh-TW" w:eastAsia="zh-CN"/>
        </w:rPr>
        <w:t>符合国家</w:t>
      </w:r>
      <w:r>
        <w:rPr>
          <w:rFonts w:hint="eastAsia" w:ascii="宋体" w:hAnsi="宋体" w:eastAsia="宋体" w:cs="宋体"/>
          <w:color w:val="000000"/>
          <w:sz w:val="24"/>
          <w:szCs w:val="24"/>
          <w:highlight w:val="none"/>
          <w:lang w:val="zh-TW" w:eastAsia="zh-TW"/>
        </w:rPr>
        <w:t>、地方规定。如因客观原因造成的污水进水量过大，超出设计水量，或遇人力不可抗拒的自然灾害（如地震等）导致污水处理站超负荷运行时，乙方应在第一时间及时报告院方管理部门，经批准后，方可启动相应应急措施。</w:t>
      </w:r>
    </w:p>
    <w:p w14:paraId="4E6662CD">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bookmarkStart w:id="21" w:name="bookmark22"/>
      <w:r>
        <w:rPr>
          <w:rFonts w:hint="eastAsia" w:ascii="宋体" w:hAnsi="宋体" w:eastAsia="宋体" w:cs="宋体"/>
          <w:color w:val="000000"/>
          <w:sz w:val="24"/>
          <w:szCs w:val="24"/>
          <w:highlight w:val="none"/>
          <w:lang w:val="zh-TW" w:eastAsia="zh-TW"/>
        </w:rPr>
        <w:t>2</w:t>
      </w:r>
      <w:bookmarkEnd w:id="21"/>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甲方在接到供电部门通知污水站停电后，将及时通知乙方。若停电时间超出一定上限，乙方应书面报告甲方管理部门，经批准后</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zh-TW" w:eastAsia="zh-TW"/>
        </w:rPr>
        <w:t>方可启动应急措施。</w:t>
      </w:r>
    </w:p>
    <w:p w14:paraId="6B979C5D">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bookmarkStart w:id="22" w:name="bookmark23"/>
      <w:r>
        <w:rPr>
          <w:rFonts w:hint="eastAsia" w:ascii="宋体" w:hAnsi="宋体" w:eastAsia="宋体" w:cs="宋体"/>
          <w:color w:val="000000"/>
          <w:sz w:val="24"/>
          <w:szCs w:val="24"/>
          <w:highlight w:val="none"/>
          <w:lang w:val="zh-TW" w:eastAsia="zh-TW"/>
        </w:rPr>
        <w:t>3</w:t>
      </w:r>
      <w:bookmarkEnd w:id="22"/>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乙方</w:t>
      </w:r>
      <w:r>
        <w:rPr>
          <w:rFonts w:hint="eastAsia" w:ascii="宋体" w:hAnsi="宋体" w:eastAsia="宋体" w:cs="宋体"/>
          <w:color w:val="000000"/>
          <w:sz w:val="24"/>
          <w:szCs w:val="24"/>
          <w:highlight w:val="none"/>
          <w:lang w:val="zh-TW" w:eastAsia="zh-CN"/>
        </w:rPr>
        <w:t>应对出水水质</w:t>
      </w:r>
      <w:r>
        <w:rPr>
          <w:rFonts w:hint="eastAsia" w:ascii="宋体" w:hAnsi="宋体" w:eastAsia="宋体" w:cs="宋体"/>
          <w:color w:val="000000"/>
          <w:sz w:val="24"/>
          <w:szCs w:val="24"/>
          <w:highlight w:val="none"/>
          <w:lang w:val="zh-TW" w:eastAsia="zh-TW"/>
        </w:rPr>
        <w:t>做好日常监测，</w:t>
      </w:r>
      <w:r>
        <w:rPr>
          <w:rFonts w:hint="eastAsia" w:ascii="宋体" w:hAnsi="宋体" w:eastAsia="宋体" w:cs="宋体"/>
          <w:color w:val="000000"/>
          <w:sz w:val="24"/>
          <w:szCs w:val="24"/>
          <w:highlight w:val="none"/>
          <w:lang w:val="zh-TW" w:eastAsia="zh-CN"/>
        </w:rPr>
        <w:t>并积极配合检测公司检测工作，并督促检测公司及时提供检测报告及原始记录进行备案</w:t>
      </w:r>
      <w:r>
        <w:rPr>
          <w:rFonts w:hint="eastAsia" w:ascii="宋体" w:hAnsi="宋体" w:eastAsia="宋体" w:cs="宋体"/>
          <w:color w:val="000000"/>
          <w:sz w:val="24"/>
          <w:szCs w:val="24"/>
          <w:highlight w:val="none"/>
          <w:lang w:val="zh-TW" w:eastAsia="zh-TW"/>
        </w:rPr>
        <w:t>。</w:t>
      </w:r>
    </w:p>
    <w:p w14:paraId="61974DD4">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应按月提供环境保护税相关数据，如每个排口污水排放量，污泥处理量等，为甲方上报环境保护税提供必要数据，不可推卸，与财务科及时对接提供报税数据。</w:t>
      </w:r>
    </w:p>
    <w:p w14:paraId="2587AB31">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bookmarkStart w:id="23" w:name="bookmark24"/>
      <w:r>
        <w:rPr>
          <w:rFonts w:hint="eastAsia" w:ascii="宋体" w:hAnsi="宋体" w:eastAsia="宋体" w:cs="宋体"/>
          <w:color w:val="000000"/>
          <w:sz w:val="24"/>
          <w:szCs w:val="24"/>
          <w:highlight w:val="none"/>
          <w:lang w:val="zh-TW" w:eastAsia="zh-TW"/>
        </w:rPr>
        <w:t>4</w:t>
      </w:r>
      <w:bookmarkEnd w:id="23"/>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eastAsia="zh-CN"/>
        </w:rPr>
        <w:t>负责污水处理站可靠安全运行及维修工作及相关设备的维保、维修</w:t>
      </w:r>
      <w:r>
        <w:rPr>
          <w:rFonts w:hint="eastAsia" w:ascii="宋体" w:hAnsi="宋体" w:eastAsia="宋体" w:cs="宋体"/>
          <w:color w:val="000000"/>
          <w:sz w:val="24"/>
          <w:szCs w:val="24"/>
          <w:highlight w:val="none"/>
          <w:lang w:val="en-US" w:eastAsia="zh-CN"/>
        </w:rPr>
        <w:t>及更换</w:t>
      </w:r>
      <w:r>
        <w:rPr>
          <w:rFonts w:hint="eastAsia" w:ascii="宋体" w:hAnsi="宋体" w:eastAsia="宋体" w:cs="宋体"/>
          <w:color w:val="000000"/>
          <w:sz w:val="24"/>
          <w:szCs w:val="24"/>
          <w:highlight w:val="none"/>
          <w:lang w:eastAsia="zh-CN"/>
        </w:rPr>
        <w:t>工作，</w:t>
      </w:r>
      <w:r>
        <w:rPr>
          <w:rFonts w:hint="eastAsia" w:ascii="宋体" w:hAnsi="宋体" w:eastAsia="宋体" w:cs="宋体"/>
          <w:color w:val="000000"/>
          <w:sz w:val="24"/>
          <w:szCs w:val="24"/>
          <w:highlight w:val="none"/>
          <w:lang w:val="en-US" w:eastAsia="zh-CN"/>
        </w:rPr>
        <w:t>制作各类标识标牌</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污水站中2500元以内的设施、设备、配件、易耗品等，由运维方免费更换</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乙方运营污水站期间需</w:t>
      </w:r>
      <w:r>
        <w:rPr>
          <w:rFonts w:hint="eastAsia" w:ascii="宋体" w:hAnsi="宋体" w:eastAsia="宋体" w:cs="宋体"/>
          <w:color w:val="000000"/>
          <w:sz w:val="24"/>
          <w:szCs w:val="24"/>
          <w:highlight w:val="none"/>
          <w:lang w:val="zh-TW" w:eastAsia="zh-TW"/>
        </w:rPr>
        <w:t>制定设备维护保养制度</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en-US" w:eastAsia="zh-CN"/>
        </w:rPr>
        <w:t>设施</w:t>
      </w:r>
      <w:r>
        <w:rPr>
          <w:rFonts w:hint="eastAsia" w:ascii="宋体" w:hAnsi="宋体" w:eastAsia="宋体" w:cs="宋体"/>
          <w:color w:val="000000"/>
          <w:sz w:val="24"/>
          <w:szCs w:val="24"/>
          <w:highlight w:val="none"/>
          <w:lang w:val="zh-TW" w:eastAsia="zh-TW"/>
        </w:rPr>
        <w:t>设备更新计划</w:t>
      </w:r>
      <w:r>
        <w:rPr>
          <w:rFonts w:hint="eastAsia" w:ascii="宋体" w:hAnsi="宋体" w:eastAsia="宋体" w:cs="宋体"/>
          <w:color w:val="000000"/>
          <w:sz w:val="24"/>
          <w:szCs w:val="24"/>
          <w:highlight w:val="none"/>
          <w:lang w:val="en-US" w:eastAsia="zh-CN"/>
        </w:rPr>
        <w:t>与应急预案，做好相关设备、配件的储备，设施设备故障需</w:t>
      </w:r>
      <w:r>
        <w:rPr>
          <w:rFonts w:hint="eastAsia" w:ascii="宋体" w:hAnsi="宋体" w:eastAsia="宋体" w:cs="宋体"/>
          <w:color w:val="000000"/>
          <w:sz w:val="24"/>
          <w:szCs w:val="24"/>
          <w:highlight w:val="none"/>
          <w:lang w:val="zh-TW" w:eastAsia="zh-TW"/>
        </w:rPr>
        <w:t>及时更换</w:t>
      </w:r>
      <w:r>
        <w:rPr>
          <w:rFonts w:hint="eastAsia" w:ascii="宋体" w:hAnsi="宋体" w:eastAsia="宋体" w:cs="宋体"/>
          <w:color w:val="000000"/>
          <w:sz w:val="24"/>
          <w:szCs w:val="24"/>
          <w:highlight w:val="none"/>
          <w:lang w:val="en-US" w:eastAsia="zh-CN"/>
        </w:rPr>
        <w:t>维修，且更换维修作业不得影响污水站正常运行。</w:t>
      </w:r>
      <w:r>
        <w:rPr>
          <w:rFonts w:hint="eastAsia" w:ascii="宋体" w:hAnsi="宋体" w:eastAsia="宋体" w:cs="宋体"/>
          <w:color w:val="000000"/>
          <w:sz w:val="24"/>
          <w:szCs w:val="24"/>
          <w:highlight w:val="none"/>
          <w:lang w:val="zh-TW" w:eastAsia="zh-TW"/>
        </w:rPr>
        <w:t>乙方应确保做好日常值班记录、设备维修维护记录、工作日记录</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en-US" w:eastAsia="zh-CN"/>
        </w:rPr>
        <w:t>加药记录及电子台账等</w:t>
      </w:r>
      <w:r>
        <w:rPr>
          <w:rFonts w:hint="eastAsia" w:ascii="宋体" w:hAnsi="宋体" w:eastAsia="宋体" w:cs="宋体"/>
          <w:color w:val="000000"/>
          <w:sz w:val="24"/>
          <w:szCs w:val="24"/>
          <w:highlight w:val="none"/>
          <w:lang w:val="zh-TW" w:eastAsia="zh-TW"/>
        </w:rPr>
        <w:t>（记录的保存期不少于</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lang w:val="zh-TW" w:eastAsia="zh-TW"/>
        </w:rPr>
        <w:t>年）。</w:t>
      </w:r>
    </w:p>
    <w:p w14:paraId="58D27466">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bookmarkStart w:id="24" w:name="bookmark25"/>
      <w:r>
        <w:rPr>
          <w:rFonts w:hint="eastAsia" w:ascii="宋体" w:hAnsi="宋体" w:eastAsia="宋体" w:cs="宋体"/>
          <w:color w:val="000000"/>
          <w:sz w:val="24"/>
          <w:szCs w:val="24"/>
          <w:highlight w:val="none"/>
          <w:lang w:val="zh-TW" w:eastAsia="zh-TW"/>
        </w:rPr>
        <w:t>5</w:t>
      </w:r>
      <w:bookmarkEnd w:id="24"/>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合同期内，如遇政府及相关政策变化需要，甲方需要提前终止合同的，乙方应</w:t>
      </w:r>
      <w:r>
        <w:rPr>
          <w:rFonts w:hint="eastAsia" w:ascii="宋体" w:hAnsi="宋体" w:eastAsia="宋体" w:cs="宋体"/>
          <w:color w:val="000000"/>
          <w:sz w:val="24"/>
          <w:szCs w:val="24"/>
          <w:highlight w:val="none"/>
          <w:lang w:val="zh-TW" w:eastAsia="zh-CN"/>
        </w:rPr>
        <w:t>配合</w:t>
      </w:r>
      <w:r>
        <w:rPr>
          <w:rFonts w:hint="eastAsia" w:ascii="宋体" w:hAnsi="宋体" w:eastAsia="宋体" w:cs="宋体"/>
          <w:color w:val="000000"/>
          <w:sz w:val="24"/>
          <w:szCs w:val="24"/>
          <w:highlight w:val="none"/>
          <w:lang w:val="zh-TW" w:eastAsia="zh-TW"/>
        </w:rPr>
        <w:t>执行，甲方按实际托管运行日期支付相应的托管费用。合同期内，乙方如需提前终止合同，应提前六个月通知甲方，经甲方书面同意的，乙方除应退还甲方已支付但仍未发生的费用</w:t>
      </w:r>
      <w:r>
        <w:rPr>
          <w:rFonts w:hint="eastAsia" w:ascii="宋体" w:hAnsi="宋体" w:eastAsia="宋体" w:cs="宋体"/>
          <w:color w:val="000000"/>
          <w:sz w:val="24"/>
          <w:szCs w:val="24"/>
          <w:highlight w:val="none"/>
          <w:lang w:eastAsia="zh-CN"/>
        </w:rPr>
        <w:t>外，还应向</w:t>
      </w:r>
      <w:r>
        <w:rPr>
          <w:rFonts w:hint="eastAsia" w:ascii="宋体" w:hAnsi="宋体" w:eastAsia="宋体" w:cs="宋体"/>
          <w:color w:val="000000"/>
          <w:sz w:val="24"/>
          <w:szCs w:val="24"/>
          <w:highlight w:val="none"/>
          <w:lang w:val="zh-TW" w:eastAsia="zh-TW"/>
        </w:rPr>
        <w:t>甲方</w:t>
      </w:r>
      <w:r>
        <w:rPr>
          <w:rFonts w:hint="eastAsia" w:ascii="宋体" w:hAnsi="宋体" w:eastAsia="宋体" w:cs="宋体"/>
          <w:color w:val="000000"/>
          <w:sz w:val="24"/>
          <w:szCs w:val="24"/>
          <w:highlight w:val="none"/>
          <w:lang w:eastAsia="zh-CN"/>
        </w:rPr>
        <w:t>支付合同金额的</w:t>
      </w:r>
      <w:r>
        <w:rPr>
          <w:rFonts w:hint="eastAsia" w:ascii="宋体" w:hAnsi="宋体" w:eastAsia="宋体" w:cs="宋体"/>
          <w:color w:val="000000"/>
          <w:sz w:val="24"/>
          <w:szCs w:val="24"/>
          <w:highlight w:val="none"/>
          <w:lang w:val="en-US" w:eastAsia="zh-CN"/>
        </w:rPr>
        <w:t>1</w:t>
      </w:r>
      <w:r>
        <w:rPr>
          <w:rFonts w:hint="eastAsia" w:ascii="宋体" w:hAnsi="宋体" w:eastAsia="宋体" w:cs="宋体"/>
          <w:color w:val="000000"/>
          <w:sz w:val="24"/>
          <w:szCs w:val="24"/>
          <w:highlight w:val="none"/>
          <w:lang w:eastAsia="zh-CN"/>
        </w:rPr>
        <w:t>0%作为</w:t>
      </w:r>
      <w:r>
        <w:rPr>
          <w:rFonts w:hint="eastAsia" w:ascii="宋体" w:hAnsi="宋体" w:eastAsia="宋体" w:cs="宋体"/>
          <w:color w:val="000000"/>
          <w:sz w:val="24"/>
          <w:szCs w:val="24"/>
          <w:highlight w:val="none"/>
          <w:lang w:val="en-US" w:eastAsia="zh-CN"/>
        </w:rPr>
        <w:t>对甲方运营管理造成不当影响的</w:t>
      </w:r>
      <w:r>
        <w:rPr>
          <w:rFonts w:hint="eastAsia" w:ascii="宋体" w:hAnsi="宋体" w:eastAsia="宋体" w:cs="宋体"/>
          <w:color w:val="000000"/>
          <w:sz w:val="24"/>
          <w:szCs w:val="24"/>
          <w:highlight w:val="none"/>
          <w:lang w:val="zh-TW" w:eastAsia="zh-TW"/>
        </w:rPr>
        <w:t>违约金</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eastAsia="zh-CN"/>
        </w:rPr>
        <w:t>违约金不足以弥补甲方损失的，乙方</w:t>
      </w:r>
      <w:r>
        <w:rPr>
          <w:rFonts w:hint="eastAsia" w:ascii="宋体" w:hAnsi="宋体" w:eastAsia="宋体" w:cs="宋体"/>
          <w:color w:val="000000"/>
          <w:sz w:val="24"/>
          <w:szCs w:val="24"/>
          <w:highlight w:val="none"/>
          <w:lang w:val="en-US" w:eastAsia="zh-CN"/>
        </w:rPr>
        <w:t>需</w:t>
      </w:r>
      <w:r>
        <w:rPr>
          <w:rFonts w:hint="eastAsia" w:ascii="宋体" w:hAnsi="宋体" w:eastAsia="宋体" w:cs="宋体"/>
          <w:color w:val="000000"/>
          <w:sz w:val="24"/>
          <w:szCs w:val="24"/>
          <w:highlight w:val="none"/>
          <w:lang w:eastAsia="zh-CN"/>
        </w:rPr>
        <w:t>承担赔偿责任</w:t>
      </w:r>
      <w:r>
        <w:rPr>
          <w:rFonts w:hint="eastAsia" w:ascii="宋体" w:hAnsi="宋体" w:eastAsia="宋体" w:cs="宋体"/>
          <w:color w:val="000000"/>
          <w:sz w:val="24"/>
          <w:szCs w:val="24"/>
          <w:highlight w:val="none"/>
          <w:lang w:val="zh-TW" w:eastAsia="zh-TW"/>
        </w:rPr>
        <w:t>。</w:t>
      </w:r>
      <w:bookmarkStart w:id="25" w:name="bookmark26"/>
    </w:p>
    <w:p w14:paraId="36D8B32A">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CN"/>
        </w:rPr>
      </w:pPr>
      <w:r>
        <w:rPr>
          <w:rFonts w:hint="eastAsia" w:ascii="宋体" w:hAnsi="宋体" w:eastAsia="宋体" w:cs="宋体"/>
          <w:color w:val="000000"/>
          <w:sz w:val="24"/>
          <w:szCs w:val="24"/>
          <w:highlight w:val="none"/>
          <w:lang w:val="zh-TW" w:eastAsia="zh-TW"/>
        </w:rPr>
        <w:t>6</w:t>
      </w:r>
      <w:bookmarkEnd w:id="25"/>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污水处理站要求设备机房365天×24小时（全年无休息日）有人值守，值班电话24小时畅通，污水站运营公司项目负责人通讯方式24小时畅通。用于本项目的人员总编制不少于7人，1名站长，最少6名运营工（且有安全管理员和维修人员）。工作人员要求有国家承认的污水处理上岗证。医院有权撤销项目运维方不合格的项目负责人及相关工作人员，项目运维方并须及时更换和补充服务人员。</w:t>
      </w:r>
    </w:p>
    <w:p w14:paraId="2D6F0330">
      <w:pPr>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CN"/>
        </w:rPr>
      </w:pPr>
      <w:r>
        <w:rPr>
          <w:rFonts w:hint="eastAsia" w:ascii="宋体" w:hAnsi="宋体" w:eastAsia="宋体" w:cs="宋体"/>
          <w:color w:val="000000"/>
          <w:sz w:val="24"/>
          <w:szCs w:val="24"/>
          <w:highlight w:val="none"/>
          <w:lang w:val="zh-TW" w:eastAsia="zh-CN" w:bidi="en-US"/>
        </w:rPr>
        <w:t>7</w:t>
      </w:r>
      <w:r>
        <w:rPr>
          <w:rFonts w:hint="eastAsia" w:ascii="宋体" w:hAnsi="宋体" w:eastAsia="宋体" w:cs="宋体"/>
          <w:color w:val="000000"/>
          <w:sz w:val="24"/>
          <w:szCs w:val="24"/>
          <w:highlight w:val="none"/>
          <w:lang w:val="en-US" w:eastAsia="zh-CN" w:bidi="en-US"/>
        </w:rPr>
        <w:t>.</w:t>
      </w:r>
      <w:r>
        <w:rPr>
          <w:rFonts w:hint="eastAsia" w:ascii="宋体" w:hAnsi="宋体" w:eastAsia="宋体" w:cs="宋体"/>
          <w:color w:val="000000"/>
          <w:sz w:val="24"/>
          <w:szCs w:val="24"/>
          <w:highlight w:val="none"/>
          <w:lang w:val="en-US" w:eastAsia="zh-CN"/>
        </w:rPr>
        <w:t>乙方运营污水站期间对污水站设施设备运行所产生的安全风险负责，</w:t>
      </w:r>
      <w:r>
        <w:rPr>
          <w:rFonts w:hint="eastAsia" w:ascii="宋体" w:hAnsi="宋体" w:eastAsia="宋体" w:cs="宋体"/>
          <w:color w:val="000000"/>
          <w:sz w:val="24"/>
          <w:szCs w:val="24"/>
          <w:highlight w:val="none"/>
          <w:lang w:val="zh-TW" w:eastAsia="zh-TW"/>
        </w:rPr>
        <w:t>乙方应</w:t>
      </w:r>
      <w:r>
        <w:rPr>
          <w:rFonts w:hint="eastAsia" w:ascii="宋体" w:hAnsi="宋体" w:eastAsia="宋体" w:cs="宋体"/>
          <w:color w:val="000000"/>
          <w:sz w:val="24"/>
          <w:szCs w:val="24"/>
          <w:highlight w:val="none"/>
          <w:lang w:val="en-US" w:eastAsia="zh-CN"/>
        </w:rPr>
        <w:t>制定符合我院实际情况安全管理制度，</w:t>
      </w:r>
      <w:r>
        <w:rPr>
          <w:rFonts w:hint="eastAsia" w:ascii="宋体" w:hAnsi="宋体" w:eastAsia="宋体" w:cs="宋体"/>
          <w:color w:val="000000"/>
          <w:sz w:val="24"/>
          <w:szCs w:val="24"/>
          <w:highlight w:val="none"/>
          <w:lang w:val="zh-TW" w:eastAsia="zh-TW"/>
        </w:rPr>
        <w:t>釆取严格的安全保护措施，</w:t>
      </w:r>
      <w:r>
        <w:rPr>
          <w:rFonts w:hint="eastAsia" w:ascii="宋体" w:hAnsi="宋体" w:eastAsia="宋体" w:cs="宋体"/>
          <w:color w:val="000000"/>
          <w:sz w:val="24"/>
          <w:szCs w:val="24"/>
          <w:highlight w:val="none"/>
          <w:lang w:val="zh-TW" w:eastAsia="zh-CN"/>
        </w:rPr>
        <w:t>配备</w:t>
      </w:r>
      <w:r>
        <w:rPr>
          <w:rFonts w:hint="eastAsia" w:ascii="宋体" w:hAnsi="宋体" w:eastAsia="宋体" w:cs="宋体"/>
          <w:color w:val="000000"/>
          <w:sz w:val="24"/>
          <w:szCs w:val="24"/>
          <w:highlight w:val="none"/>
          <w:lang w:val="zh-TW" w:eastAsia="zh-TW"/>
        </w:rPr>
        <w:t>安全管理员，</w:t>
      </w:r>
      <w:r>
        <w:rPr>
          <w:rFonts w:hint="eastAsia" w:ascii="宋体" w:hAnsi="宋体" w:eastAsia="宋体" w:cs="宋体"/>
          <w:color w:val="000000"/>
          <w:sz w:val="24"/>
          <w:szCs w:val="24"/>
          <w:highlight w:val="none"/>
          <w:lang w:val="en-US" w:eastAsia="zh-CN"/>
        </w:rPr>
        <w:t>确保</w:t>
      </w:r>
      <w:r>
        <w:rPr>
          <w:rFonts w:hint="eastAsia" w:ascii="宋体" w:hAnsi="宋体" w:eastAsia="宋体" w:cs="宋体"/>
          <w:color w:val="000000"/>
          <w:sz w:val="24"/>
          <w:szCs w:val="24"/>
          <w:highlight w:val="none"/>
          <w:lang w:val="zh-TW" w:eastAsia="zh-TW"/>
        </w:rPr>
        <w:t>人身安全、</w:t>
      </w:r>
      <w:r>
        <w:rPr>
          <w:rFonts w:hint="eastAsia" w:ascii="宋体" w:hAnsi="宋体" w:eastAsia="宋体" w:cs="宋体"/>
          <w:color w:val="000000"/>
          <w:sz w:val="24"/>
          <w:szCs w:val="24"/>
          <w:highlight w:val="none"/>
          <w:lang w:val="en-US" w:eastAsia="zh-CN"/>
        </w:rPr>
        <w:t>财产</w:t>
      </w:r>
      <w:r>
        <w:rPr>
          <w:rFonts w:hint="eastAsia" w:ascii="宋体" w:hAnsi="宋体" w:eastAsia="宋体" w:cs="宋体"/>
          <w:color w:val="000000"/>
          <w:sz w:val="24"/>
          <w:szCs w:val="24"/>
          <w:highlight w:val="none"/>
          <w:lang w:val="zh-TW" w:eastAsia="zh-TW"/>
        </w:rPr>
        <w:t>安全</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zh-TW" w:eastAsia="zh-TW"/>
        </w:rPr>
        <w:t>做好污水</w:t>
      </w:r>
      <w:r>
        <w:rPr>
          <w:rFonts w:hint="eastAsia" w:ascii="宋体" w:hAnsi="宋体" w:eastAsia="宋体" w:cs="宋体"/>
          <w:color w:val="000000"/>
          <w:sz w:val="24"/>
          <w:szCs w:val="24"/>
          <w:highlight w:val="none"/>
          <w:lang w:val="en-US" w:eastAsia="zh-CN"/>
        </w:rPr>
        <w:t>站运营相关的</w:t>
      </w:r>
      <w:r>
        <w:rPr>
          <w:rFonts w:hint="eastAsia" w:ascii="宋体" w:hAnsi="宋体" w:eastAsia="宋体" w:cs="宋体"/>
          <w:color w:val="000000"/>
          <w:sz w:val="24"/>
          <w:szCs w:val="24"/>
          <w:highlight w:val="none"/>
          <w:lang w:val="zh-TW" w:eastAsia="zh-TW"/>
        </w:rPr>
        <w:t>安全风险</w:t>
      </w:r>
      <w:r>
        <w:rPr>
          <w:rFonts w:hint="eastAsia" w:ascii="宋体" w:hAnsi="宋体" w:eastAsia="宋体" w:cs="宋体"/>
          <w:color w:val="000000"/>
          <w:sz w:val="24"/>
          <w:szCs w:val="24"/>
          <w:highlight w:val="none"/>
          <w:lang w:val="en-US" w:eastAsia="zh-CN"/>
        </w:rPr>
        <w:t>警示标识标牌等并定期组织</w:t>
      </w:r>
      <w:r>
        <w:rPr>
          <w:rFonts w:hint="eastAsia" w:ascii="宋体" w:hAnsi="宋体" w:eastAsia="宋体" w:cs="宋体"/>
          <w:color w:val="000000"/>
          <w:sz w:val="24"/>
          <w:szCs w:val="24"/>
          <w:highlight w:val="none"/>
          <w:lang w:val="zh-TW" w:eastAsia="zh-TW"/>
        </w:rPr>
        <w:t>开展安全培训</w:t>
      </w:r>
      <w:r>
        <w:rPr>
          <w:rFonts w:hint="eastAsia" w:ascii="宋体" w:hAnsi="宋体" w:eastAsia="宋体" w:cs="宋体"/>
          <w:color w:val="000000"/>
          <w:sz w:val="24"/>
          <w:szCs w:val="24"/>
          <w:highlight w:val="none"/>
          <w:lang w:val="zh-TW" w:eastAsia="zh-CN"/>
        </w:rPr>
        <w:t>。</w:t>
      </w:r>
    </w:p>
    <w:p w14:paraId="4384CAF9">
      <w:pPr>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CN"/>
        </w:rPr>
      </w:pPr>
      <w:r>
        <w:rPr>
          <w:rFonts w:hint="eastAsia" w:ascii="宋体" w:hAnsi="宋体" w:eastAsia="宋体" w:cs="宋体"/>
          <w:color w:val="000000"/>
          <w:sz w:val="24"/>
          <w:szCs w:val="24"/>
          <w:highlight w:val="none"/>
          <w:lang w:val="en-US" w:eastAsia="zh-CN"/>
        </w:rPr>
        <w:t>污水站设施设备运行所产生的安全事故由乙方负责，事故</w:t>
      </w:r>
      <w:r>
        <w:rPr>
          <w:rFonts w:hint="eastAsia" w:ascii="宋体" w:hAnsi="宋体" w:eastAsia="宋体" w:cs="宋体"/>
          <w:color w:val="000000"/>
          <w:sz w:val="24"/>
          <w:szCs w:val="24"/>
          <w:highlight w:val="none"/>
          <w:lang w:val="zh-TW" w:eastAsia="zh-TW"/>
        </w:rPr>
        <w:t>所</w:t>
      </w:r>
      <w:r>
        <w:rPr>
          <w:rFonts w:hint="eastAsia" w:ascii="宋体" w:hAnsi="宋体" w:eastAsia="宋体" w:cs="宋体"/>
          <w:color w:val="000000"/>
          <w:sz w:val="24"/>
          <w:szCs w:val="24"/>
          <w:highlight w:val="none"/>
          <w:lang w:val="en-US" w:eastAsia="zh-CN"/>
        </w:rPr>
        <w:t>产生</w:t>
      </w:r>
      <w:r>
        <w:rPr>
          <w:rFonts w:hint="eastAsia" w:ascii="宋体" w:hAnsi="宋体" w:eastAsia="宋体" w:cs="宋体"/>
          <w:color w:val="000000"/>
          <w:sz w:val="24"/>
          <w:szCs w:val="24"/>
          <w:highlight w:val="none"/>
          <w:lang w:val="zh-TW" w:eastAsia="zh-TW"/>
        </w:rPr>
        <w:t>的人身安全处理及赔偿由乙方负全责，</w:t>
      </w:r>
      <w:r>
        <w:rPr>
          <w:rFonts w:hint="eastAsia" w:ascii="宋体" w:hAnsi="宋体" w:eastAsia="宋体" w:cs="宋体"/>
          <w:color w:val="000000"/>
          <w:sz w:val="24"/>
          <w:szCs w:val="24"/>
          <w:highlight w:val="none"/>
          <w:lang w:val="en-US" w:eastAsia="zh-CN"/>
        </w:rPr>
        <w:t>污水站运营设施</w:t>
      </w:r>
      <w:r>
        <w:rPr>
          <w:rFonts w:hint="eastAsia" w:ascii="宋体" w:hAnsi="宋体" w:eastAsia="宋体" w:cs="宋体"/>
          <w:color w:val="000000"/>
          <w:sz w:val="24"/>
          <w:szCs w:val="24"/>
          <w:highlight w:val="none"/>
          <w:lang w:val="zh-TW" w:eastAsia="zh-TW"/>
        </w:rPr>
        <w:t>设备及其他安全事故给甲方造成的损失由乙方负责赔偿，</w:t>
      </w:r>
      <w:r>
        <w:rPr>
          <w:rFonts w:hint="eastAsia" w:ascii="宋体" w:hAnsi="宋体" w:eastAsia="宋体" w:cs="宋体"/>
          <w:color w:val="000000"/>
          <w:sz w:val="24"/>
          <w:szCs w:val="24"/>
          <w:highlight w:val="none"/>
          <w:lang w:eastAsia="zh-CN"/>
        </w:rPr>
        <w:t>发生上述情况</w:t>
      </w:r>
      <w:r>
        <w:rPr>
          <w:rFonts w:hint="eastAsia" w:ascii="宋体" w:hAnsi="宋体" w:eastAsia="宋体" w:cs="宋体"/>
          <w:color w:val="000000"/>
          <w:sz w:val="24"/>
          <w:szCs w:val="24"/>
          <w:highlight w:val="none"/>
          <w:lang w:val="zh-TW" w:eastAsia="zh-TW"/>
        </w:rPr>
        <w:t>给甲方造成的恶劣影响的, 甲方有权立即</w:t>
      </w:r>
      <w:r>
        <w:rPr>
          <w:rFonts w:hint="eastAsia" w:ascii="宋体" w:hAnsi="宋体" w:eastAsia="宋体" w:cs="宋体"/>
          <w:color w:val="000000"/>
          <w:sz w:val="24"/>
          <w:szCs w:val="24"/>
          <w:highlight w:val="none"/>
          <w:lang w:eastAsia="zh-CN"/>
        </w:rPr>
        <w:t>解除</w:t>
      </w:r>
      <w:r>
        <w:rPr>
          <w:rFonts w:hint="eastAsia" w:ascii="宋体" w:hAnsi="宋体" w:eastAsia="宋体" w:cs="宋体"/>
          <w:color w:val="000000"/>
          <w:sz w:val="24"/>
          <w:szCs w:val="24"/>
          <w:highlight w:val="none"/>
          <w:lang w:val="zh-TW" w:eastAsia="zh-TW"/>
        </w:rPr>
        <w:t>合同，</w:t>
      </w:r>
      <w:r>
        <w:rPr>
          <w:rFonts w:hint="eastAsia" w:ascii="宋体" w:hAnsi="宋体" w:eastAsia="宋体" w:cs="宋体"/>
          <w:color w:val="000000"/>
          <w:sz w:val="24"/>
          <w:szCs w:val="24"/>
          <w:highlight w:val="none"/>
          <w:lang w:val="en-US" w:eastAsia="zh-CN"/>
        </w:rPr>
        <w:t>上述安全</w:t>
      </w:r>
      <w:r>
        <w:rPr>
          <w:rFonts w:hint="eastAsia" w:ascii="宋体" w:hAnsi="宋体" w:eastAsia="宋体" w:cs="宋体"/>
          <w:color w:val="000000"/>
          <w:sz w:val="24"/>
          <w:szCs w:val="24"/>
          <w:highlight w:val="none"/>
          <w:lang w:val="zh-TW" w:eastAsia="zh-TW"/>
        </w:rPr>
        <w:t>事故对甲方造成的一切经济损失</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eastAsia="zh-CN"/>
        </w:rPr>
        <w:t>名誉损失</w:t>
      </w:r>
      <w:r>
        <w:rPr>
          <w:rFonts w:hint="eastAsia" w:ascii="宋体" w:hAnsi="宋体" w:eastAsia="宋体" w:cs="宋体"/>
          <w:color w:val="000000"/>
          <w:sz w:val="24"/>
          <w:szCs w:val="24"/>
          <w:highlight w:val="none"/>
          <w:lang w:val="zh-TW" w:eastAsia="zh-TW"/>
        </w:rPr>
        <w:t>由乙方向甲方赔偿，乙方并承担相关法律责任。</w:t>
      </w:r>
    </w:p>
    <w:p w14:paraId="3BE75812">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auto"/>
          <w:sz w:val="24"/>
          <w:szCs w:val="24"/>
          <w:highlight w:val="none"/>
          <w:lang w:val="zh-TW" w:eastAsia="zh-TW"/>
        </w:rPr>
      </w:pPr>
      <w:bookmarkStart w:id="26" w:name="bookmark28"/>
      <w:r>
        <w:rPr>
          <w:rFonts w:hint="eastAsia" w:ascii="宋体" w:hAnsi="宋体" w:eastAsia="宋体" w:cs="宋体"/>
          <w:color w:val="000000"/>
          <w:sz w:val="24"/>
          <w:szCs w:val="24"/>
          <w:highlight w:val="none"/>
          <w:lang w:val="zh-TW" w:eastAsia="zh-TW"/>
        </w:rPr>
        <w:t>8</w:t>
      </w:r>
      <w:bookmarkEnd w:id="26"/>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乙方应按照招标要求配备足量工作人员保证甲方项目正常开展</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auto"/>
          <w:sz w:val="24"/>
          <w:szCs w:val="24"/>
          <w:highlight w:val="none"/>
          <w:lang w:val="zh-TW" w:eastAsia="zh-TW"/>
        </w:rPr>
        <w:t>乙方应优先解决医院</w:t>
      </w:r>
      <w:r>
        <w:rPr>
          <w:rFonts w:hint="eastAsia" w:ascii="宋体" w:hAnsi="宋体" w:eastAsia="宋体" w:cs="宋体"/>
          <w:color w:val="auto"/>
          <w:sz w:val="24"/>
          <w:szCs w:val="24"/>
          <w:highlight w:val="none"/>
          <w:lang w:val="en-US" w:eastAsia="zh-CN"/>
        </w:rPr>
        <w:t>提出的具备操作</w:t>
      </w:r>
      <w:r>
        <w:rPr>
          <w:rFonts w:hint="eastAsia" w:ascii="宋体" w:hAnsi="宋体" w:eastAsia="宋体" w:cs="宋体"/>
          <w:color w:val="auto"/>
          <w:sz w:val="24"/>
          <w:szCs w:val="24"/>
          <w:highlight w:val="none"/>
          <w:lang w:val="zh-TW" w:eastAsia="zh-TW"/>
        </w:rPr>
        <w:t>经验的</w:t>
      </w:r>
      <w:r>
        <w:rPr>
          <w:rFonts w:hint="eastAsia" w:ascii="宋体" w:hAnsi="宋体" w:eastAsia="宋体" w:cs="宋体"/>
          <w:color w:val="auto"/>
          <w:sz w:val="24"/>
          <w:szCs w:val="24"/>
          <w:highlight w:val="none"/>
          <w:lang w:val="en-US" w:eastAsia="zh-CN"/>
        </w:rPr>
        <w:t>工作</w:t>
      </w:r>
      <w:r>
        <w:rPr>
          <w:rFonts w:hint="eastAsia" w:ascii="宋体" w:hAnsi="宋体" w:eastAsia="宋体" w:cs="宋体"/>
          <w:color w:val="auto"/>
          <w:sz w:val="24"/>
          <w:szCs w:val="24"/>
          <w:highlight w:val="none"/>
          <w:lang w:val="zh-TW" w:eastAsia="zh-TW"/>
        </w:rPr>
        <w:t>人员</w:t>
      </w:r>
      <w:r>
        <w:rPr>
          <w:rFonts w:hint="eastAsia" w:ascii="宋体" w:hAnsi="宋体" w:eastAsia="宋体" w:cs="宋体"/>
          <w:color w:val="auto"/>
          <w:sz w:val="24"/>
          <w:szCs w:val="24"/>
          <w:highlight w:val="none"/>
          <w:lang w:val="zh-TW" w:eastAsia="zh-CN"/>
        </w:rPr>
        <w:t>。</w:t>
      </w:r>
      <w:r>
        <w:rPr>
          <w:rFonts w:hint="eastAsia" w:ascii="宋体" w:hAnsi="宋体" w:eastAsia="宋体" w:cs="宋体"/>
          <w:color w:val="auto"/>
          <w:sz w:val="24"/>
          <w:szCs w:val="24"/>
          <w:highlight w:val="none"/>
          <w:lang w:val="zh-TW" w:eastAsia="zh-TW"/>
        </w:rPr>
        <w:t>严格做好工作人员的管理工作，包括人事关系、工资待遇、各类纠纷等, 按照劳动合同法规定安排工作，签订劳动合同，办理社保及相关待遇。 所发生的一切劳动纠纷及所产生的一切费用全部由乙方承担。由此给甲方造成极恶劣影响的，甲方有权立即</w:t>
      </w:r>
      <w:r>
        <w:rPr>
          <w:rFonts w:hint="eastAsia" w:ascii="宋体" w:hAnsi="宋体" w:eastAsia="宋体" w:cs="宋体"/>
          <w:color w:val="auto"/>
          <w:sz w:val="24"/>
          <w:szCs w:val="24"/>
          <w:highlight w:val="none"/>
          <w:lang w:val="zh-TW" w:eastAsia="zh-CN"/>
        </w:rPr>
        <w:t>解除</w:t>
      </w:r>
      <w:r>
        <w:rPr>
          <w:rFonts w:hint="eastAsia" w:ascii="宋体" w:hAnsi="宋体" w:eastAsia="宋体" w:cs="宋体"/>
          <w:color w:val="auto"/>
          <w:sz w:val="24"/>
          <w:szCs w:val="24"/>
          <w:highlight w:val="none"/>
          <w:lang w:val="zh-TW" w:eastAsia="zh-TW"/>
        </w:rPr>
        <w:t>合同，并追究由此带来的一切经济损失及法律责任。</w:t>
      </w:r>
    </w:p>
    <w:p w14:paraId="6A19D08C">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bookmarkStart w:id="27" w:name="bookmark29"/>
      <w:r>
        <w:rPr>
          <w:rFonts w:hint="eastAsia" w:ascii="宋体" w:hAnsi="宋体" w:eastAsia="宋体" w:cs="宋体"/>
          <w:color w:val="000000"/>
          <w:sz w:val="24"/>
          <w:szCs w:val="24"/>
          <w:highlight w:val="none"/>
          <w:lang w:val="zh-TW" w:eastAsia="zh-TW"/>
        </w:rPr>
        <w:t>9</w:t>
      </w:r>
      <w:bookmarkEnd w:id="27"/>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乙方应承诺保证出水达到当地环保部门监管要求。如果在相关政府部门</w:t>
      </w:r>
      <w:r>
        <w:rPr>
          <w:rFonts w:hint="eastAsia" w:ascii="宋体" w:hAnsi="宋体" w:eastAsia="宋体" w:cs="宋体"/>
          <w:color w:val="000000"/>
          <w:sz w:val="24"/>
          <w:szCs w:val="24"/>
          <w:highlight w:val="none"/>
          <w:lang w:val="zh-TW" w:eastAsia="zh-CN"/>
        </w:rPr>
        <w:t>检查</w:t>
      </w:r>
      <w:r>
        <w:rPr>
          <w:rFonts w:hint="eastAsia" w:ascii="宋体" w:hAnsi="宋体" w:eastAsia="宋体" w:cs="宋体"/>
          <w:color w:val="000000"/>
          <w:sz w:val="24"/>
          <w:szCs w:val="24"/>
          <w:highlight w:val="none"/>
          <w:lang w:val="zh-TW" w:eastAsia="zh-TW"/>
        </w:rPr>
        <w:t>过程中</w:t>
      </w:r>
      <w:r>
        <w:rPr>
          <w:rFonts w:hint="eastAsia" w:ascii="宋体" w:hAnsi="宋体" w:eastAsia="宋体" w:cs="宋体"/>
          <w:color w:val="000000"/>
          <w:sz w:val="24"/>
          <w:szCs w:val="24"/>
          <w:highlight w:val="none"/>
          <w:lang w:val="zh-TW" w:eastAsia="zh-CN"/>
        </w:rPr>
        <w:t>发现</w:t>
      </w:r>
      <w:r>
        <w:rPr>
          <w:rFonts w:hint="eastAsia" w:ascii="宋体" w:hAnsi="宋体" w:eastAsia="宋体" w:cs="宋体"/>
          <w:color w:val="000000"/>
          <w:sz w:val="24"/>
          <w:szCs w:val="24"/>
          <w:highlight w:val="none"/>
          <w:lang w:val="zh-TW" w:eastAsia="zh-TW"/>
        </w:rPr>
        <w:t>处理出水不达标</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en-US" w:eastAsia="zh-CN"/>
        </w:rPr>
        <w:t>偷排、设备故障等</w:t>
      </w:r>
      <w:r>
        <w:rPr>
          <w:rFonts w:hint="eastAsia" w:ascii="宋体" w:hAnsi="宋体" w:eastAsia="宋体" w:cs="宋体"/>
          <w:color w:val="000000"/>
          <w:sz w:val="24"/>
          <w:szCs w:val="24"/>
          <w:highlight w:val="none"/>
          <w:lang w:val="zh-TW" w:eastAsia="zh-TW"/>
        </w:rPr>
        <w:t>情况，乙方应及时进行整改并承担由此产生的一切费用</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zh-TW" w:eastAsia="zh-TW"/>
        </w:rPr>
        <w:t>包括政府相关单位的罚款、排污费及相关法律责任</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en-US" w:eastAsia="zh-CN"/>
        </w:rPr>
        <w:t>并向甲方支付合同金额20%作为违约金，此外</w:t>
      </w:r>
      <w:r>
        <w:rPr>
          <w:rFonts w:hint="eastAsia" w:ascii="宋体" w:hAnsi="宋体" w:eastAsia="宋体" w:cs="宋体"/>
          <w:color w:val="000000"/>
          <w:sz w:val="24"/>
          <w:szCs w:val="24"/>
          <w:highlight w:val="none"/>
          <w:lang w:val="zh-TW" w:eastAsia="zh-TW"/>
        </w:rPr>
        <w:t>甲方有权解除合同。</w:t>
      </w:r>
    </w:p>
    <w:p w14:paraId="36918017">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en-US" w:eastAsia="zh-CN"/>
        </w:rPr>
      </w:pPr>
      <w:bookmarkStart w:id="28" w:name="bookmark30"/>
      <w:r>
        <w:rPr>
          <w:rFonts w:hint="eastAsia" w:ascii="宋体" w:hAnsi="宋体" w:eastAsia="宋体" w:cs="宋体"/>
          <w:color w:val="000000"/>
          <w:sz w:val="24"/>
          <w:szCs w:val="24"/>
          <w:highlight w:val="none"/>
          <w:lang w:val="zh-TW" w:eastAsia="zh-TW"/>
        </w:rPr>
        <w:t>1</w:t>
      </w:r>
      <w:bookmarkEnd w:id="28"/>
      <w:r>
        <w:rPr>
          <w:rFonts w:hint="eastAsia" w:ascii="宋体" w:hAnsi="宋体" w:eastAsia="宋体" w:cs="宋体"/>
          <w:color w:val="000000"/>
          <w:sz w:val="24"/>
          <w:szCs w:val="24"/>
          <w:highlight w:val="none"/>
          <w:lang w:val="zh-TW" w:eastAsia="zh-TW"/>
        </w:rPr>
        <w:t>0</w:t>
      </w:r>
      <w:r>
        <w:rPr>
          <w:rFonts w:hint="eastAsia" w:ascii="宋体" w:hAnsi="宋体" w:eastAsia="宋体" w:cs="宋体"/>
          <w:color w:val="000000"/>
          <w:sz w:val="24"/>
          <w:szCs w:val="24"/>
          <w:highlight w:val="none"/>
          <w:lang w:val="en-US" w:eastAsia="zh-CN"/>
        </w:rPr>
        <w:t>.乙方负责污水站运营过程中产生的相关废物合规处理。</w:t>
      </w:r>
      <w:r>
        <w:rPr>
          <w:rFonts w:hint="eastAsia" w:ascii="宋体" w:hAnsi="宋体" w:eastAsia="宋体" w:cs="宋体"/>
          <w:color w:val="000000"/>
          <w:sz w:val="24"/>
          <w:szCs w:val="24"/>
          <w:highlight w:val="none"/>
          <w:lang w:val="zh-TW" w:eastAsia="zh-TW"/>
        </w:rPr>
        <w:t>污水站正常运行过程中</w:t>
      </w:r>
      <w:r>
        <w:rPr>
          <w:rFonts w:hint="eastAsia" w:ascii="宋体" w:hAnsi="宋体" w:eastAsia="宋体" w:cs="宋体"/>
          <w:color w:val="000000"/>
          <w:sz w:val="24"/>
          <w:szCs w:val="24"/>
          <w:highlight w:val="none"/>
          <w:lang w:val="en-US" w:eastAsia="zh-CN"/>
        </w:rPr>
        <w:t>乙方需</w:t>
      </w:r>
      <w:r>
        <w:rPr>
          <w:rFonts w:hint="eastAsia" w:ascii="宋体" w:hAnsi="宋体" w:eastAsia="宋体" w:cs="宋体"/>
          <w:color w:val="000000"/>
          <w:sz w:val="24"/>
          <w:szCs w:val="24"/>
          <w:highlight w:val="none"/>
          <w:lang w:val="zh-TW" w:eastAsia="zh-TW"/>
        </w:rPr>
        <w:t>按照环保局要求</w:t>
      </w:r>
      <w:r>
        <w:rPr>
          <w:rFonts w:hint="eastAsia" w:ascii="宋体" w:hAnsi="宋体" w:eastAsia="宋体" w:cs="宋体"/>
          <w:color w:val="000000"/>
          <w:sz w:val="24"/>
          <w:szCs w:val="24"/>
          <w:highlight w:val="none"/>
          <w:lang w:val="en-US" w:eastAsia="zh-CN"/>
        </w:rPr>
        <w:t>对</w:t>
      </w:r>
      <w:r>
        <w:rPr>
          <w:rFonts w:hint="eastAsia" w:ascii="宋体" w:hAnsi="宋体" w:eastAsia="宋体" w:cs="宋体"/>
          <w:color w:val="000000"/>
          <w:sz w:val="24"/>
          <w:szCs w:val="24"/>
          <w:highlight w:val="none"/>
          <w:lang w:val="zh-TW" w:eastAsia="zh-TW"/>
        </w:rPr>
        <w:t>污水站产生的污泥需委托有资质的第三方处理，处理内容包含污泥清掏、污泥的压榨、上药处理、</w:t>
      </w:r>
      <w:r>
        <w:rPr>
          <w:rFonts w:hint="eastAsia" w:ascii="宋体" w:hAnsi="宋体" w:eastAsia="宋体" w:cs="宋体"/>
          <w:color w:val="000000"/>
          <w:sz w:val="24"/>
          <w:szCs w:val="24"/>
          <w:highlight w:val="none"/>
          <w:lang w:val="en-US" w:eastAsia="zh-CN"/>
        </w:rPr>
        <w:t>检测并出具合规检测报告</w:t>
      </w:r>
      <w:r>
        <w:rPr>
          <w:rFonts w:hint="eastAsia" w:ascii="宋体" w:hAnsi="宋体" w:eastAsia="宋体" w:cs="宋体"/>
          <w:color w:val="000000"/>
          <w:sz w:val="24"/>
          <w:szCs w:val="24"/>
          <w:highlight w:val="none"/>
          <w:lang w:val="zh-TW" w:eastAsia="zh-TW"/>
        </w:rPr>
        <w:t>。</w:t>
      </w:r>
    </w:p>
    <w:p w14:paraId="277C2643">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CN"/>
        </w:rPr>
      </w:pPr>
      <w:bookmarkStart w:id="29" w:name="bookmark31"/>
      <w:r>
        <w:rPr>
          <w:rFonts w:hint="eastAsia" w:ascii="宋体" w:hAnsi="宋体" w:eastAsia="宋体" w:cs="宋体"/>
          <w:color w:val="000000"/>
          <w:sz w:val="24"/>
          <w:szCs w:val="24"/>
          <w:highlight w:val="none"/>
          <w:lang w:val="zh-TW" w:eastAsia="zh-TW"/>
        </w:rPr>
        <w:t>1</w:t>
      </w:r>
      <w:bookmarkEnd w:id="29"/>
      <w:r>
        <w:rPr>
          <w:rFonts w:hint="eastAsia" w:ascii="宋体" w:hAnsi="宋体" w:eastAsia="宋体" w:cs="宋体"/>
          <w:color w:val="000000"/>
          <w:sz w:val="24"/>
          <w:szCs w:val="24"/>
          <w:highlight w:val="none"/>
          <w:lang w:val="zh-TW" w:eastAsia="zh-TW"/>
        </w:rPr>
        <w:t>1</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乙方应</w:t>
      </w:r>
      <w:r>
        <w:rPr>
          <w:rFonts w:hint="eastAsia" w:ascii="宋体" w:hAnsi="宋体" w:eastAsia="宋体" w:cs="宋体"/>
          <w:color w:val="000000"/>
          <w:sz w:val="24"/>
          <w:szCs w:val="24"/>
          <w:highlight w:val="none"/>
          <w:lang w:val="en-US" w:eastAsia="zh-CN"/>
        </w:rPr>
        <w:t>运营期间应确保</w:t>
      </w:r>
      <w:r>
        <w:rPr>
          <w:rFonts w:hint="eastAsia" w:ascii="宋体" w:hAnsi="宋体" w:eastAsia="宋体" w:cs="宋体"/>
          <w:color w:val="000000"/>
          <w:sz w:val="24"/>
          <w:szCs w:val="24"/>
          <w:highlight w:val="none"/>
          <w:lang w:val="zh-TW" w:eastAsia="zh-TW"/>
        </w:rPr>
        <w:t>所有设施</w:t>
      </w:r>
      <w:r>
        <w:rPr>
          <w:rFonts w:hint="eastAsia" w:ascii="宋体" w:hAnsi="宋体" w:eastAsia="宋体" w:cs="宋体"/>
          <w:color w:val="000000"/>
          <w:sz w:val="24"/>
          <w:szCs w:val="24"/>
          <w:highlight w:val="none"/>
          <w:lang w:val="en-US" w:eastAsia="zh-CN"/>
        </w:rPr>
        <w:t>设备</w:t>
      </w:r>
      <w:r>
        <w:rPr>
          <w:rFonts w:hint="eastAsia" w:ascii="宋体" w:hAnsi="宋体" w:eastAsia="宋体" w:cs="宋体"/>
          <w:color w:val="000000"/>
          <w:sz w:val="24"/>
          <w:szCs w:val="24"/>
          <w:highlight w:val="none"/>
          <w:lang w:val="zh-TW" w:eastAsia="zh-TW"/>
        </w:rPr>
        <w:t>正常运行</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en-US" w:eastAsia="zh-CN"/>
        </w:rPr>
        <w:t>并</w:t>
      </w:r>
      <w:r>
        <w:rPr>
          <w:rFonts w:hint="eastAsia" w:ascii="宋体" w:hAnsi="宋体" w:eastAsia="宋体" w:cs="宋体"/>
          <w:color w:val="000000"/>
          <w:sz w:val="24"/>
          <w:szCs w:val="24"/>
          <w:highlight w:val="none"/>
          <w:lang w:val="zh-TW" w:eastAsia="zh-CN"/>
        </w:rPr>
        <w:t>结合</w:t>
      </w:r>
      <w:r>
        <w:rPr>
          <w:rFonts w:hint="eastAsia" w:ascii="宋体" w:hAnsi="宋体" w:eastAsia="宋体" w:cs="宋体"/>
          <w:color w:val="000000"/>
          <w:sz w:val="24"/>
          <w:szCs w:val="24"/>
          <w:highlight w:val="none"/>
          <w:lang w:val="zh-TW" w:eastAsia="zh-TW"/>
        </w:rPr>
        <w:t>实时污水出水情况，</w:t>
      </w:r>
      <w:r>
        <w:rPr>
          <w:rFonts w:hint="eastAsia" w:ascii="宋体" w:hAnsi="宋体" w:eastAsia="宋体" w:cs="宋体"/>
          <w:color w:val="000000"/>
          <w:sz w:val="24"/>
          <w:szCs w:val="24"/>
          <w:highlight w:val="none"/>
          <w:lang w:val="zh-TW" w:eastAsia="zh-CN"/>
        </w:rPr>
        <w:t>随时</w:t>
      </w:r>
      <w:r>
        <w:rPr>
          <w:rFonts w:hint="eastAsia" w:ascii="宋体" w:hAnsi="宋体" w:eastAsia="宋体" w:cs="宋体"/>
          <w:color w:val="000000"/>
          <w:sz w:val="24"/>
          <w:szCs w:val="24"/>
          <w:highlight w:val="none"/>
          <w:lang w:val="zh-TW" w:eastAsia="zh-TW"/>
        </w:rPr>
        <w:t>调整处理方案确保甲方</w:t>
      </w:r>
      <w:r>
        <w:rPr>
          <w:rFonts w:hint="eastAsia" w:ascii="宋体" w:hAnsi="宋体" w:eastAsia="宋体" w:cs="宋体"/>
          <w:color w:val="000000"/>
          <w:sz w:val="24"/>
          <w:szCs w:val="24"/>
          <w:highlight w:val="none"/>
          <w:lang w:val="en-US" w:eastAsia="zh-CN"/>
        </w:rPr>
        <w:t>污水站稳定运行，</w:t>
      </w:r>
      <w:r>
        <w:rPr>
          <w:rFonts w:hint="eastAsia" w:ascii="宋体" w:hAnsi="宋体" w:eastAsia="宋体" w:cs="宋体"/>
          <w:color w:val="000000"/>
          <w:sz w:val="24"/>
          <w:szCs w:val="24"/>
          <w:highlight w:val="none"/>
          <w:lang w:val="zh-TW" w:eastAsia="zh-TW"/>
        </w:rPr>
        <w:t>污水合规处置</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en-US" w:eastAsia="zh-CN"/>
        </w:rPr>
        <w:t>确保</w:t>
      </w:r>
      <w:r>
        <w:rPr>
          <w:rFonts w:hint="eastAsia" w:ascii="宋体" w:hAnsi="宋体" w:eastAsia="宋体" w:cs="宋体"/>
          <w:color w:val="000000"/>
          <w:sz w:val="24"/>
          <w:szCs w:val="24"/>
          <w:highlight w:val="none"/>
          <w:lang w:val="zh-TW" w:eastAsia="zh-TW"/>
        </w:rPr>
        <w:t>出水</w:t>
      </w:r>
      <w:r>
        <w:rPr>
          <w:rFonts w:hint="eastAsia" w:ascii="宋体" w:hAnsi="宋体" w:eastAsia="宋体" w:cs="宋体"/>
          <w:color w:val="000000"/>
          <w:sz w:val="24"/>
          <w:szCs w:val="24"/>
          <w:highlight w:val="none"/>
          <w:lang w:val="en-US" w:eastAsia="zh-CN"/>
        </w:rPr>
        <w:t>水质</w:t>
      </w:r>
      <w:r>
        <w:rPr>
          <w:rFonts w:hint="eastAsia" w:ascii="宋体" w:hAnsi="宋体" w:eastAsia="宋体" w:cs="宋体"/>
          <w:color w:val="000000"/>
          <w:sz w:val="24"/>
          <w:szCs w:val="24"/>
          <w:highlight w:val="none"/>
          <w:lang w:val="zh-TW" w:eastAsia="zh-TW"/>
        </w:rPr>
        <w:t>达标</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eastAsia="zh-CN"/>
        </w:rPr>
        <w:t>出现问题或突发情况时，驻站人员应随时做出响应， 1小时内提供解决方案，</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lang w:eastAsia="zh-CN"/>
        </w:rPr>
        <w:t>小时解决问题或有效控制突发情况。</w:t>
      </w:r>
    </w:p>
    <w:p w14:paraId="00BD82BF">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bookmarkStart w:id="30" w:name="bookmark32"/>
      <w:r>
        <w:rPr>
          <w:rFonts w:hint="eastAsia" w:ascii="宋体" w:hAnsi="宋体" w:eastAsia="宋体" w:cs="宋体"/>
          <w:color w:val="000000"/>
          <w:sz w:val="24"/>
          <w:szCs w:val="24"/>
          <w:highlight w:val="none"/>
          <w:lang w:val="zh-TW" w:eastAsia="zh-TW"/>
        </w:rPr>
        <w:t>1</w:t>
      </w:r>
      <w:bookmarkEnd w:id="30"/>
      <w:r>
        <w:rPr>
          <w:rFonts w:hint="eastAsia" w:ascii="宋体" w:hAnsi="宋体" w:eastAsia="宋体" w:cs="宋体"/>
          <w:color w:val="000000"/>
          <w:sz w:val="24"/>
          <w:szCs w:val="24"/>
          <w:highlight w:val="none"/>
          <w:lang w:val="zh-TW" w:eastAsia="zh-TW"/>
        </w:rPr>
        <w:t>2</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污水站正常运行期间，污水站区域内的清洁卫生工作由乙方全部负责，做到设备设施表面无浮灰，地面干净整洁，门窗、温室玻璃 等干净卫生。周边道路干净卫生。污水站所产生的生活垃圾（包括格栅拦截的垃圾，保证污水站正常运行发生的垃圾），全部由乙方负责</w:t>
      </w:r>
      <w:r>
        <w:rPr>
          <w:rFonts w:hint="eastAsia" w:ascii="宋体" w:hAnsi="宋体" w:eastAsia="宋体" w:cs="宋体"/>
          <w:color w:val="000000"/>
          <w:sz w:val="24"/>
          <w:szCs w:val="24"/>
          <w:highlight w:val="none"/>
          <w:lang w:val="zh-TW" w:eastAsia="zh-CN"/>
        </w:rPr>
        <w:t>按照环保</w:t>
      </w:r>
      <w:r>
        <w:rPr>
          <w:rFonts w:hint="eastAsia" w:ascii="宋体" w:hAnsi="宋体" w:eastAsia="宋体" w:cs="宋体"/>
          <w:color w:val="000000"/>
          <w:sz w:val="24"/>
          <w:szCs w:val="24"/>
          <w:highlight w:val="none"/>
          <w:lang w:val="zh-TW" w:eastAsia="zh-TW"/>
        </w:rPr>
        <w:t>规范要求</w:t>
      </w:r>
      <w:r>
        <w:rPr>
          <w:rFonts w:hint="eastAsia" w:ascii="宋体" w:hAnsi="宋体" w:eastAsia="宋体" w:cs="宋体"/>
          <w:color w:val="000000"/>
          <w:sz w:val="24"/>
          <w:szCs w:val="24"/>
          <w:highlight w:val="none"/>
          <w:lang w:val="zh-TW" w:eastAsia="zh-CN"/>
        </w:rPr>
        <w:t>及时</w:t>
      </w:r>
      <w:r>
        <w:rPr>
          <w:rFonts w:hint="eastAsia" w:ascii="宋体" w:hAnsi="宋体" w:eastAsia="宋体" w:cs="宋体"/>
          <w:color w:val="000000"/>
          <w:sz w:val="24"/>
          <w:szCs w:val="24"/>
          <w:highlight w:val="none"/>
          <w:lang w:val="zh-TW" w:eastAsia="zh-TW"/>
        </w:rPr>
        <w:t>处理。</w:t>
      </w:r>
    </w:p>
    <w:p w14:paraId="43A38DEF">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bookmarkStart w:id="31" w:name="bookmark33"/>
      <w:r>
        <w:rPr>
          <w:rFonts w:hint="eastAsia" w:ascii="宋体" w:hAnsi="宋体" w:eastAsia="宋体" w:cs="宋体"/>
          <w:color w:val="000000"/>
          <w:sz w:val="24"/>
          <w:szCs w:val="24"/>
          <w:highlight w:val="none"/>
          <w:lang w:val="zh-TW" w:eastAsia="zh-TW"/>
        </w:rPr>
        <w:t>1</w:t>
      </w:r>
      <w:bookmarkEnd w:id="31"/>
      <w:r>
        <w:rPr>
          <w:rFonts w:hint="eastAsia" w:ascii="宋体" w:hAnsi="宋体" w:eastAsia="宋体" w:cs="宋体"/>
          <w:color w:val="000000"/>
          <w:sz w:val="24"/>
          <w:szCs w:val="24"/>
          <w:highlight w:val="none"/>
          <w:lang w:val="zh-TW" w:eastAsia="zh-TW"/>
        </w:rPr>
        <w:t>3</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外包服务运行合同期内，水电费用由甲方承担。</w:t>
      </w:r>
    </w:p>
    <w:p w14:paraId="53574B80">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CN"/>
        </w:rPr>
      </w:pPr>
      <w:bookmarkStart w:id="32" w:name="bookmark34"/>
      <w:r>
        <w:rPr>
          <w:rFonts w:hint="eastAsia" w:ascii="宋体" w:hAnsi="宋体" w:eastAsia="宋体" w:cs="宋体"/>
          <w:color w:val="000000"/>
          <w:sz w:val="24"/>
          <w:szCs w:val="24"/>
          <w:highlight w:val="none"/>
          <w:lang w:val="zh-TW" w:eastAsia="zh-TW"/>
        </w:rPr>
        <w:t>1</w:t>
      </w:r>
      <w:bookmarkEnd w:id="32"/>
      <w:r>
        <w:rPr>
          <w:rFonts w:hint="eastAsia" w:ascii="宋体" w:hAnsi="宋体" w:eastAsia="宋体" w:cs="宋体"/>
          <w:color w:val="000000"/>
          <w:sz w:val="24"/>
          <w:szCs w:val="24"/>
          <w:highlight w:val="none"/>
          <w:lang w:val="zh-TW" w:eastAsia="zh-TW"/>
        </w:rPr>
        <w:t>4</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合同期满后，乙方确保污水站所有设备完好，能够正常运行， 确保出水水质达标，并</w:t>
      </w:r>
      <w:r>
        <w:rPr>
          <w:rFonts w:hint="eastAsia" w:ascii="宋体" w:hAnsi="宋体" w:eastAsia="宋体" w:cs="宋体"/>
          <w:color w:val="000000"/>
          <w:sz w:val="24"/>
          <w:szCs w:val="24"/>
          <w:highlight w:val="none"/>
          <w:lang w:eastAsia="zh-CN"/>
        </w:rPr>
        <w:t>将</w:t>
      </w:r>
      <w:r>
        <w:rPr>
          <w:rFonts w:hint="eastAsia" w:ascii="宋体" w:hAnsi="宋体" w:eastAsia="宋体" w:cs="宋体"/>
          <w:color w:val="000000"/>
          <w:sz w:val="24"/>
          <w:szCs w:val="24"/>
          <w:highlight w:val="none"/>
          <w:lang w:val="zh-TW" w:eastAsia="zh-TW"/>
        </w:rPr>
        <w:t>相关技术资料</w:t>
      </w:r>
      <w:r>
        <w:rPr>
          <w:rFonts w:hint="eastAsia" w:ascii="宋体" w:hAnsi="宋体" w:eastAsia="宋体" w:cs="宋体"/>
          <w:color w:val="000000"/>
          <w:sz w:val="24"/>
          <w:szCs w:val="24"/>
          <w:highlight w:val="none"/>
          <w:lang w:val="zh-TW" w:eastAsia="zh-CN"/>
        </w:rPr>
        <w:t>、</w:t>
      </w:r>
      <w:r>
        <w:rPr>
          <w:rFonts w:hint="eastAsia" w:ascii="宋体" w:hAnsi="宋体" w:eastAsia="宋体" w:cs="宋体"/>
          <w:color w:val="000000"/>
          <w:sz w:val="24"/>
          <w:szCs w:val="24"/>
          <w:highlight w:val="none"/>
          <w:lang w:val="en-US" w:eastAsia="zh-CN"/>
        </w:rPr>
        <w:t>运维记录、加药记录、票据相关证件</w:t>
      </w:r>
      <w:r>
        <w:rPr>
          <w:rFonts w:hint="eastAsia" w:ascii="宋体" w:hAnsi="宋体" w:eastAsia="宋体" w:cs="宋体"/>
          <w:color w:val="000000"/>
          <w:sz w:val="24"/>
          <w:szCs w:val="24"/>
          <w:highlight w:val="none"/>
          <w:lang w:val="zh-TW" w:eastAsia="zh-TW"/>
        </w:rPr>
        <w:t>和技术培训</w:t>
      </w:r>
      <w:r>
        <w:rPr>
          <w:rFonts w:hint="eastAsia" w:ascii="宋体" w:hAnsi="宋体" w:eastAsia="宋体" w:cs="宋体"/>
          <w:color w:val="000000"/>
          <w:sz w:val="24"/>
          <w:szCs w:val="24"/>
          <w:highlight w:val="none"/>
          <w:lang w:val="en-US" w:eastAsia="zh-CN"/>
        </w:rPr>
        <w:t>资料完整</w:t>
      </w:r>
      <w:r>
        <w:rPr>
          <w:rFonts w:hint="eastAsia" w:ascii="宋体" w:hAnsi="宋体" w:eastAsia="宋体" w:cs="宋体"/>
          <w:color w:val="000000"/>
          <w:sz w:val="24"/>
          <w:szCs w:val="24"/>
          <w:highlight w:val="none"/>
          <w:lang w:val="zh-TW" w:eastAsia="zh-TW"/>
        </w:rPr>
        <w:t>移交甲方后方可支付最后一笔款项</w:t>
      </w:r>
      <w:r>
        <w:rPr>
          <w:rFonts w:hint="eastAsia" w:ascii="宋体" w:hAnsi="宋体" w:eastAsia="宋体" w:cs="宋体"/>
          <w:color w:val="000000"/>
          <w:sz w:val="24"/>
          <w:szCs w:val="24"/>
          <w:highlight w:val="none"/>
          <w:lang w:val="zh-TW" w:eastAsia="zh-CN"/>
        </w:rPr>
        <w:t>。</w:t>
      </w:r>
    </w:p>
    <w:p w14:paraId="3560331F">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CN"/>
        </w:rPr>
      </w:pPr>
      <w:r>
        <w:rPr>
          <w:rFonts w:hint="eastAsia" w:ascii="宋体" w:hAnsi="宋体" w:eastAsia="宋体" w:cs="宋体"/>
          <w:sz w:val="24"/>
          <w:szCs w:val="24"/>
          <w:highlight w:val="none"/>
          <w:lang w:val="en-US" w:eastAsia="zh-CN"/>
        </w:rPr>
        <w:t>15.</w:t>
      </w:r>
      <w:r>
        <w:rPr>
          <w:rFonts w:hint="eastAsia" w:ascii="宋体" w:hAnsi="宋体" w:eastAsia="宋体" w:cs="宋体"/>
          <w:color w:val="000000"/>
          <w:sz w:val="24"/>
          <w:szCs w:val="24"/>
          <w:highlight w:val="none"/>
          <w:lang w:val="zh-TW" w:eastAsia="zh-CN"/>
        </w:rPr>
        <w:t>乙方</w:t>
      </w:r>
      <w:r>
        <w:rPr>
          <w:rFonts w:hint="eastAsia" w:ascii="宋体" w:hAnsi="宋体" w:eastAsia="宋体" w:cs="宋体"/>
          <w:color w:val="000000"/>
          <w:sz w:val="24"/>
          <w:szCs w:val="24"/>
          <w:highlight w:val="none"/>
          <w:lang w:val="zh-TW" w:eastAsia="zh-TW"/>
        </w:rPr>
        <w:t>运营管理应按照当地</w:t>
      </w:r>
      <w:r>
        <w:rPr>
          <w:rFonts w:hint="eastAsia" w:ascii="宋体" w:hAnsi="宋体" w:eastAsia="宋体" w:cs="宋体"/>
          <w:color w:val="000000"/>
          <w:sz w:val="24"/>
          <w:szCs w:val="24"/>
          <w:highlight w:val="none"/>
          <w:lang w:val="zh-TW" w:eastAsia="zh-CN"/>
        </w:rPr>
        <w:t>监管</w:t>
      </w:r>
      <w:r>
        <w:rPr>
          <w:rFonts w:hint="eastAsia" w:ascii="宋体" w:hAnsi="宋体" w:eastAsia="宋体" w:cs="宋体"/>
          <w:color w:val="000000"/>
          <w:sz w:val="24"/>
          <w:szCs w:val="24"/>
          <w:highlight w:val="none"/>
          <w:lang w:val="zh-TW" w:eastAsia="zh-TW"/>
        </w:rPr>
        <w:t>部门要求进行规范管理</w:t>
      </w:r>
      <w:r>
        <w:rPr>
          <w:rFonts w:hint="eastAsia" w:ascii="宋体" w:hAnsi="宋体" w:eastAsia="宋体" w:cs="宋体"/>
          <w:color w:val="000000"/>
          <w:sz w:val="24"/>
          <w:szCs w:val="24"/>
          <w:highlight w:val="none"/>
          <w:lang w:val="zh-TW" w:eastAsia="zh-CN"/>
        </w:rPr>
        <w:t>。监管部门</w:t>
      </w:r>
      <w:r>
        <w:rPr>
          <w:rFonts w:hint="eastAsia" w:ascii="宋体" w:hAnsi="宋体" w:eastAsia="宋体" w:cs="宋体"/>
          <w:color w:val="000000"/>
          <w:sz w:val="24"/>
          <w:szCs w:val="24"/>
          <w:highlight w:val="none"/>
          <w:lang w:val="zh-TW" w:eastAsia="zh-TW"/>
        </w:rPr>
        <w:t>检查发现问题的，乙方应及时整改处理直至合格</w:t>
      </w:r>
      <w:r>
        <w:rPr>
          <w:rFonts w:hint="eastAsia" w:ascii="宋体" w:hAnsi="宋体" w:eastAsia="宋体" w:cs="宋体"/>
          <w:color w:val="000000"/>
          <w:sz w:val="24"/>
          <w:szCs w:val="24"/>
          <w:highlight w:val="none"/>
          <w:lang w:val="en-US" w:eastAsia="zh-CN"/>
        </w:rPr>
        <w:t>外另需向甲方缴纳1000元违约金</w:t>
      </w:r>
      <w:r>
        <w:rPr>
          <w:rFonts w:hint="eastAsia" w:ascii="宋体" w:hAnsi="宋体" w:eastAsia="宋体" w:cs="宋体"/>
          <w:color w:val="000000"/>
          <w:sz w:val="24"/>
          <w:szCs w:val="24"/>
          <w:highlight w:val="none"/>
          <w:lang w:val="zh-TW" w:eastAsia="zh-CN"/>
        </w:rPr>
        <w:t>，检查发现问题对甲方造成的经济损失</w:t>
      </w:r>
      <w:r>
        <w:rPr>
          <w:rFonts w:hint="eastAsia" w:ascii="宋体" w:hAnsi="宋体" w:eastAsia="宋体" w:cs="宋体"/>
          <w:color w:val="000000"/>
          <w:sz w:val="24"/>
          <w:szCs w:val="24"/>
          <w:highlight w:val="none"/>
          <w:lang w:val="en-US" w:eastAsia="zh-CN"/>
        </w:rPr>
        <w:t>或</w:t>
      </w:r>
      <w:r>
        <w:rPr>
          <w:rFonts w:hint="eastAsia" w:ascii="宋体" w:hAnsi="宋体" w:eastAsia="宋体" w:cs="宋体"/>
          <w:color w:val="000000"/>
          <w:sz w:val="24"/>
          <w:szCs w:val="24"/>
          <w:highlight w:val="none"/>
          <w:lang w:val="zh-TW" w:eastAsia="zh-CN"/>
        </w:rPr>
        <w:t>名誉损</w:t>
      </w:r>
      <w:r>
        <w:rPr>
          <w:rFonts w:hint="eastAsia" w:ascii="宋体" w:hAnsi="宋体" w:eastAsia="宋体" w:cs="宋体"/>
          <w:color w:val="auto"/>
          <w:sz w:val="24"/>
          <w:szCs w:val="24"/>
          <w:highlight w:val="none"/>
          <w:lang w:val="zh-TW" w:eastAsia="zh-CN"/>
        </w:rPr>
        <w:t>失由乙方负责承担外</w:t>
      </w:r>
      <w:r>
        <w:rPr>
          <w:rFonts w:hint="eastAsia" w:ascii="宋体" w:hAnsi="宋体" w:eastAsia="宋体" w:cs="宋体"/>
          <w:color w:val="000000"/>
          <w:sz w:val="24"/>
          <w:szCs w:val="24"/>
          <w:highlight w:val="none"/>
          <w:lang w:val="zh-TW" w:eastAsia="zh-CN"/>
        </w:rPr>
        <w:t>，乙方需</w:t>
      </w:r>
      <w:r>
        <w:rPr>
          <w:rFonts w:hint="eastAsia" w:ascii="宋体" w:hAnsi="宋体" w:eastAsia="宋体" w:cs="宋体"/>
          <w:color w:val="000000"/>
          <w:sz w:val="24"/>
          <w:szCs w:val="24"/>
          <w:highlight w:val="none"/>
          <w:lang w:val="zh-TW" w:eastAsia="zh-TW"/>
        </w:rPr>
        <w:t>缴纳</w:t>
      </w:r>
      <w:r>
        <w:rPr>
          <w:rFonts w:hint="eastAsia" w:ascii="宋体" w:hAnsi="宋体" w:eastAsia="宋体" w:cs="宋体"/>
          <w:color w:val="000000"/>
          <w:sz w:val="24"/>
          <w:szCs w:val="24"/>
          <w:highlight w:val="none"/>
          <w:lang w:val="zh-TW" w:eastAsia="zh-CN"/>
        </w:rPr>
        <w:t>3000元或以上违约金，具体金额由甲方视情节而定，情节严重的甲方有权解除合同。</w:t>
      </w:r>
    </w:p>
    <w:p w14:paraId="5A229C59">
      <w:pPr>
        <w:pStyle w:val="2"/>
        <w:pageBreakBefore w:val="0"/>
        <w:widowControl w:val="0"/>
        <w:kinsoku/>
        <w:wordWrap/>
        <w:overflowPunct/>
        <w:topLinePunct w:val="0"/>
        <w:autoSpaceDE/>
        <w:autoSpaceDN/>
        <w:bidi w:val="0"/>
        <w:adjustRightInd w:val="0"/>
        <w:snapToGrid w:val="0"/>
        <w:spacing w:line="360" w:lineRule="auto"/>
        <w:ind w:firstLine="482" w:firstLineChars="200"/>
        <w:rPr>
          <w:rFonts w:hint="eastAsia" w:ascii="宋体" w:hAnsi="宋体" w:eastAsia="宋体" w:cs="宋体"/>
          <w:color w:val="000000"/>
          <w:sz w:val="24"/>
          <w:szCs w:val="24"/>
          <w:highlight w:val="none"/>
          <w:lang w:val="zh-TW" w:eastAsia="zh-TW"/>
        </w:rPr>
      </w:pPr>
      <w:bookmarkStart w:id="33" w:name="bookmark36"/>
      <w:bookmarkStart w:id="34" w:name="bookmark38"/>
      <w:bookmarkStart w:id="35" w:name="bookmark37"/>
      <w:r>
        <w:rPr>
          <w:rFonts w:hint="eastAsia" w:ascii="宋体" w:hAnsi="宋体" w:eastAsia="宋体" w:cs="宋体"/>
          <w:color w:val="000000"/>
          <w:sz w:val="24"/>
          <w:szCs w:val="24"/>
          <w:highlight w:val="none"/>
          <w:lang w:val="zh-TW" w:eastAsia="zh-TW"/>
        </w:rPr>
        <w:t>第五章质量、安全保证</w:t>
      </w:r>
      <w:bookmarkEnd w:id="33"/>
      <w:bookmarkEnd w:id="34"/>
      <w:bookmarkEnd w:id="35"/>
    </w:p>
    <w:p w14:paraId="3870E88D">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第十一条乙方在提供服务期间，应做好如下质量及安全保证：</w:t>
      </w:r>
    </w:p>
    <w:p w14:paraId="0E9E3A24">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bookmarkStart w:id="36" w:name="bookmark39"/>
      <w:r>
        <w:rPr>
          <w:rFonts w:hint="eastAsia" w:ascii="宋体" w:hAnsi="宋体" w:eastAsia="宋体" w:cs="宋体"/>
          <w:color w:val="000000"/>
          <w:sz w:val="24"/>
          <w:szCs w:val="24"/>
          <w:highlight w:val="none"/>
          <w:lang w:val="zh-TW" w:eastAsia="zh-TW"/>
        </w:rPr>
        <w:t>1</w:t>
      </w:r>
      <w:bookmarkEnd w:id="36"/>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乙方经营期间派遣的服务人员必须持证上岗并严格遵守国家相关法律法规。</w:t>
      </w:r>
    </w:p>
    <w:p w14:paraId="423731F8">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bookmarkStart w:id="37" w:name="bookmark40"/>
      <w:r>
        <w:rPr>
          <w:rFonts w:hint="eastAsia" w:ascii="宋体" w:hAnsi="宋体" w:eastAsia="宋体" w:cs="宋体"/>
          <w:color w:val="000000"/>
          <w:sz w:val="24"/>
          <w:szCs w:val="24"/>
          <w:highlight w:val="none"/>
          <w:lang w:val="zh-TW" w:eastAsia="zh-TW"/>
        </w:rPr>
        <w:t>2</w:t>
      </w:r>
      <w:bookmarkEnd w:id="37"/>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乙方必须具备污水运营服务相关资质并具有项目服务能力。</w:t>
      </w:r>
    </w:p>
    <w:p w14:paraId="0C9FEA48">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bookmarkStart w:id="38" w:name="bookmark41"/>
      <w:r>
        <w:rPr>
          <w:rFonts w:hint="eastAsia" w:ascii="宋体" w:hAnsi="宋体" w:eastAsia="宋体" w:cs="宋体"/>
          <w:color w:val="000000"/>
          <w:sz w:val="24"/>
          <w:szCs w:val="24"/>
          <w:highlight w:val="none"/>
          <w:lang w:val="zh-TW" w:eastAsia="zh-TW"/>
        </w:rPr>
        <w:t>3</w:t>
      </w:r>
      <w:bookmarkEnd w:id="38"/>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乙方必须按国家和地方相关法律法规要求，为所派运营服务人员缴纳保险并每年进行体检。</w:t>
      </w:r>
    </w:p>
    <w:p w14:paraId="4421A791">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bookmarkStart w:id="39" w:name="bookmark42"/>
      <w:r>
        <w:rPr>
          <w:rFonts w:hint="eastAsia" w:ascii="宋体" w:hAnsi="宋体" w:eastAsia="宋体" w:cs="宋体"/>
          <w:color w:val="000000"/>
          <w:sz w:val="24"/>
          <w:szCs w:val="24"/>
          <w:highlight w:val="none"/>
          <w:lang w:val="zh-TW" w:eastAsia="zh-TW"/>
        </w:rPr>
        <w:t>4</w:t>
      </w:r>
      <w:bookmarkEnd w:id="39"/>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乙方必须服从甲方管理，遵守甲方的各项管理制度，每月向甲方书面报告污水处理张运行状况，并接受甲方及政府相关部门的工作检查、监督和指导。</w:t>
      </w:r>
    </w:p>
    <w:p w14:paraId="1456218C">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lang w:val="zh-TW" w:eastAsia="zh-TW"/>
        </w:rPr>
        <w:t>乙方在运营期间每月进行一次安全排查工作，梳理安全隐患， 完善应急预案并定期进行演练，岀现突发情况，乙方应第一时间响应, 及时启动应急预案，争取最短（4-6小时内）时间解决或控制突发情况。</w:t>
      </w:r>
    </w:p>
    <w:p w14:paraId="13570EC9">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lang w:val="zh-TW" w:eastAsia="zh-TW"/>
        </w:rPr>
        <w:t>乙方需同甲方签订消防和安全责任书。</w:t>
      </w:r>
    </w:p>
    <w:p w14:paraId="242EF797">
      <w:pPr>
        <w:pStyle w:val="2"/>
        <w:pageBreakBefore w:val="0"/>
        <w:widowControl w:val="0"/>
        <w:kinsoku/>
        <w:wordWrap/>
        <w:overflowPunct/>
        <w:topLinePunct w:val="0"/>
        <w:autoSpaceDE/>
        <w:autoSpaceDN/>
        <w:bidi w:val="0"/>
        <w:adjustRightInd w:val="0"/>
        <w:snapToGrid w:val="0"/>
        <w:spacing w:line="360" w:lineRule="auto"/>
        <w:ind w:firstLine="482" w:firstLineChars="200"/>
        <w:rPr>
          <w:rFonts w:hint="eastAsia" w:ascii="宋体" w:hAnsi="宋体" w:eastAsia="宋体" w:cs="宋体"/>
          <w:color w:val="000000"/>
          <w:sz w:val="24"/>
          <w:szCs w:val="24"/>
          <w:highlight w:val="none"/>
          <w:lang w:val="zh-TW" w:eastAsia="zh-TW"/>
        </w:rPr>
      </w:pPr>
      <w:bookmarkStart w:id="40" w:name="bookmark46"/>
      <w:bookmarkStart w:id="41" w:name="bookmark47"/>
      <w:bookmarkStart w:id="42" w:name="bookmark48"/>
      <w:r>
        <w:rPr>
          <w:rFonts w:hint="eastAsia" w:ascii="宋体" w:hAnsi="宋体" w:eastAsia="宋体" w:cs="宋体"/>
          <w:color w:val="000000"/>
          <w:sz w:val="24"/>
          <w:szCs w:val="24"/>
          <w:highlight w:val="none"/>
          <w:lang w:val="zh-TW" w:eastAsia="zh-TW"/>
        </w:rPr>
        <w:t>第六章服务职责</w:t>
      </w:r>
      <w:bookmarkEnd w:id="40"/>
      <w:bookmarkEnd w:id="41"/>
      <w:bookmarkEnd w:id="42"/>
    </w:p>
    <w:p w14:paraId="5C8B0694">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val="zh-TW" w:eastAsia="zh-TW"/>
        </w:rPr>
      </w:pPr>
      <w:r>
        <w:rPr>
          <w:rFonts w:hint="eastAsia" w:ascii="宋体" w:hAnsi="宋体" w:eastAsia="宋体" w:cs="宋体"/>
          <w:color w:val="000000"/>
          <w:sz w:val="24"/>
          <w:szCs w:val="24"/>
          <w:highlight w:val="none"/>
          <w:lang w:val="zh-TW" w:eastAsia="zh-TW"/>
        </w:rPr>
        <w:t>第十二条乙方在运营服务期间必须严格遵守相关规定，建立健全 岗位责任制度和管理制度、各种紧急（突发）事件应对处置预案等服 务管理制度体系，并加强对服务人员的管理。</w:t>
      </w:r>
    </w:p>
    <w:p w14:paraId="674571E4">
      <w:pPr>
        <w:pStyle w:val="2"/>
        <w:pageBreakBefore w:val="0"/>
        <w:widowControl w:val="0"/>
        <w:kinsoku/>
        <w:wordWrap/>
        <w:overflowPunct/>
        <w:topLinePunct w:val="0"/>
        <w:autoSpaceDE/>
        <w:autoSpaceDN/>
        <w:bidi w:val="0"/>
        <w:adjustRightInd w:val="0"/>
        <w:snapToGrid w:val="0"/>
        <w:spacing w:line="360" w:lineRule="auto"/>
        <w:ind w:firstLine="482" w:firstLineChars="200"/>
        <w:rPr>
          <w:rFonts w:hint="eastAsia" w:ascii="宋体" w:hAnsi="宋体" w:eastAsia="宋体" w:cs="宋体"/>
          <w:color w:val="000000"/>
          <w:sz w:val="24"/>
          <w:szCs w:val="24"/>
          <w:highlight w:val="none"/>
          <w:lang w:val="zh-TW" w:eastAsia="zh-TW"/>
        </w:rPr>
      </w:pPr>
      <w:bookmarkStart w:id="43" w:name="bookmark49"/>
      <w:bookmarkStart w:id="44" w:name="bookmark50"/>
      <w:bookmarkStart w:id="45" w:name="bookmark51"/>
      <w:r>
        <w:rPr>
          <w:rFonts w:hint="eastAsia" w:ascii="宋体" w:hAnsi="宋体" w:eastAsia="宋体" w:cs="宋体"/>
          <w:color w:val="000000"/>
          <w:sz w:val="24"/>
          <w:szCs w:val="24"/>
          <w:highlight w:val="none"/>
          <w:lang w:val="zh-TW" w:eastAsia="zh-TW"/>
        </w:rPr>
        <w:t>第七章考核标准</w:t>
      </w:r>
      <w:bookmarkEnd w:id="43"/>
      <w:bookmarkEnd w:id="44"/>
      <w:bookmarkEnd w:id="45"/>
    </w:p>
    <w:p w14:paraId="726F3EC6">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zh-TW" w:eastAsia="zh-TW"/>
        </w:rPr>
        <w:t>第十三条1</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val="zh-TW" w:eastAsia="zh-TW"/>
        </w:rPr>
        <w:t>服务期内甲方不定期进行现场巡察抽检，进行服务考评（考评表见附件），考评低于85分以下，视为不合格，甲方有权解除合同；考评介于（含）</w:t>
      </w:r>
      <w:r>
        <w:rPr>
          <w:rFonts w:hint="eastAsia" w:ascii="宋体" w:hAnsi="宋体" w:eastAsia="宋体" w:cs="宋体"/>
          <w:color w:val="000000"/>
          <w:sz w:val="24"/>
          <w:szCs w:val="24"/>
          <w:highlight w:val="none"/>
          <w:lang w:val="en-US" w:eastAsia="zh-CN"/>
        </w:rPr>
        <w:t>95</w:t>
      </w:r>
      <w:r>
        <w:rPr>
          <w:rFonts w:hint="eastAsia" w:ascii="宋体" w:hAnsi="宋体" w:eastAsia="宋体" w:cs="宋体"/>
          <w:color w:val="000000"/>
          <w:sz w:val="24"/>
          <w:szCs w:val="24"/>
          <w:highlight w:val="none"/>
          <w:lang w:val="zh-TW" w:eastAsia="zh-TW"/>
        </w:rPr>
        <w:t>分-(含）85分时，首次甲方通报警告处理，如出现第二次，甲方将根据考评情况对乙方予以</w:t>
      </w:r>
      <w:r>
        <w:rPr>
          <w:rFonts w:hint="eastAsia" w:ascii="宋体" w:hAnsi="宋体" w:eastAsia="宋体" w:cs="宋体"/>
          <w:color w:val="000000"/>
          <w:sz w:val="24"/>
          <w:szCs w:val="24"/>
          <w:highlight w:val="none"/>
          <w:lang w:val="zh-TW" w:eastAsia="zh-CN"/>
        </w:rPr>
        <w:t>2000</w:t>
      </w:r>
      <w:r>
        <w:rPr>
          <w:rFonts w:hint="eastAsia" w:ascii="宋体" w:hAnsi="宋体" w:eastAsia="宋体" w:cs="宋体"/>
          <w:color w:val="000000"/>
          <w:sz w:val="24"/>
          <w:szCs w:val="24"/>
          <w:highlight w:val="none"/>
          <w:lang w:val="zh-TW" w:eastAsia="zh-TW"/>
        </w:rPr>
        <w:t>元/次经济处罚，累计三次以上，视为乙方不具备履约能力，甲方有权解除合同，因此影响到甲方相关工作，根据实际情况乙方应承担相应经济处罚和违约责任</w:t>
      </w:r>
      <w:r>
        <w:rPr>
          <w:rFonts w:hint="eastAsia" w:ascii="宋体" w:hAnsi="宋体" w:eastAsia="宋体" w:cs="宋体"/>
          <w:color w:val="0000FF"/>
          <w:sz w:val="24"/>
          <w:szCs w:val="24"/>
          <w:highlight w:val="none"/>
          <w:lang w:eastAsia="zh-CN"/>
        </w:rPr>
        <w:t>。</w:t>
      </w:r>
    </w:p>
    <w:p w14:paraId="09C3B34F">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2</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eastAsia="zh-CN"/>
        </w:rPr>
        <w:t>验收依据：</w:t>
      </w:r>
    </w:p>
    <w:p w14:paraId="6B0EEEC9">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合同文件、合同附件、招标文件和投标文件</w:t>
      </w:r>
    </w:p>
    <w:p w14:paraId="1669AC1F">
      <w:pPr>
        <w:pStyle w:val="2"/>
        <w:pageBreakBefore w:val="0"/>
        <w:widowControl w:val="0"/>
        <w:kinsoku/>
        <w:wordWrap/>
        <w:overflowPunct/>
        <w:topLinePunct w:val="0"/>
        <w:autoSpaceDE/>
        <w:autoSpaceDN/>
        <w:bidi w:val="0"/>
        <w:adjustRightInd w:val="0"/>
        <w:snapToGrid w:val="0"/>
        <w:spacing w:line="360" w:lineRule="auto"/>
        <w:ind w:firstLine="482" w:firstLineChars="200"/>
        <w:rPr>
          <w:rFonts w:hint="eastAsia" w:ascii="宋体" w:hAnsi="宋体" w:eastAsia="宋体" w:cs="宋体"/>
          <w:color w:val="000000"/>
          <w:sz w:val="24"/>
          <w:szCs w:val="24"/>
          <w:highlight w:val="none"/>
          <w:lang w:eastAsia="zh-CN"/>
        </w:rPr>
      </w:pPr>
      <w:bookmarkStart w:id="46" w:name="bookmark53"/>
      <w:bookmarkStart w:id="47" w:name="bookmark54"/>
      <w:bookmarkStart w:id="48" w:name="bookmark52"/>
      <w:r>
        <w:rPr>
          <w:rFonts w:hint="eastAsia" w:ascii="宋体" w:hAnsi="宋体" w:eastAsia="宋体" w:cs="宋体"/>
          <w:color w:val="000000"/>
          <w:sz w:val="24"/>
          <w:szCs w:val="24"/>
          <w:highlight w:val="none"/>
          <w:lang w:eastAsia="zh-CN"/>
        </w:rPr>
        <w:t>第八章违约责任及罚则</w:t>
      </w:r>
      <w:bookmarkEnd w:id="46"/>
      <w:bookmarkEnd w:id="47"/>
      <w:bookmarkEnd w:id="48"/>
    </w:p>
    <w:p w14:paraId="0683A6F4">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第十四条</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lang w:eastAsia="zh-CN"/>
        </w:rPr>
        <w:t>乙方应在资质齐全的正规消毒供应公司购买用于医院污水处理的消毒产品，如乙方未按照监督部门要求购买使用消毒产品，一经发现，首次甲方有权对乙方进行</w:t>
      </w:r>
      <w:r>
        <w:rPr>
          <w:rFonts w:hint="eastAsia" w:ascii="宋体" w:hAnsi="宋体" w:eastAsia="宋体" w:cs="宋体"/>
          <w:color w:val="000000"/>
          <w:sz w:val="24"/>
          <w:szCs w:val="24"/>
          <w:highlight w:val="none"/>
          <w:lang w:val="en-US" w:eastAsia="zh-CN"/>
        </w:rPr>
        <w:t>5000</w:t>
      </w:r>
      <w:r>
        <w:rPr>
          <w:rFonts w:hint="eastAsia" w:ascii="宋体" w:hAnsi="宋体" w:eastAsia="宋体" w:cs="宋体"/>
          <w:color w:val="000000"/>
          <w:sz w:val="24"/>
          <w:szCs w:val="24"/>
          <w:highlight w:val="none"/>
          <w:lang w:eastAsia="zh-CN"/>
        </w:rPr>
        <w:t>元/次的经济处罚，并责令乙方将不合格产品清退出场，两次</w:t>
      </w:r>
      <w:r>
        <w:rPr>
          <w:rFonts w:hint="eastAsia" w:ascii="宋体" w:hAnsi="宋体" w:eastAsia="宋体" w:cs="宋体"/>
          <w:color w:val="000000"/>
          <w:sz w:val="24"/>
          <w:szCs w:val="24"/>
          <w:highlight w:val="none"/>
          <w:lang w:val="en-US" w:eastAsia="zh-CN"/>
        </w:rPr>
        <w:t>及</w:t>
      </w:r>
      <w:r>
        <w:rPr>
          <w:rFonts w:hint="eastAsia" w:ascii="宋体" w:hAnsi="宋体" w:eastAsia="宋体" w:cs="宋体"/>
          <w:color w:val="000000"/>
          <w:sz w:val="24"/>
          <w:szCs w:val="24"/>
          <w:highlight w:val="none"/>
          <w:lang w:eastAsia="zh-CN"/>
        </w:rPr>
        <w:t>以上，视为严重违约，甲方有权单方解除合同。如乙方违约情况严重者或违反行政法规或者构成刑事犯罪的，甲方除有权单方解除合同外，还将移交当地公安部门处置。乙方因此给甲方造成损失的，由乙方承担全部赔偿责任和相关行政处罚。</w:t>
      </w:r>
    </w:p>
    <w:p w14:paraId="4E27BEBE">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第十五条</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lang w:eastAsia="zh-CN"/>
        </w:rPr>
        <w:t>乙方不履行合同义务或不按合同约定履行义务的其他 情况，本合同有特殊约定的，按照约定处理。本合同没有特殊约定的， 乙方就其违约行为每次单项向甲方支付2000元的违约金并赔偿因其违约给甲方造成的损失；乙方</w:t>
      </w:r>
      <w:r>
        <w:rPr>
          <w:rFonts w:hint="eastAsia" w:ascii="宋体" w:hAnsi="宋体" w:eastAsia="宋体" w:cs="宋体"/>
          <w:color w:val="000000"/>
          <w:sz w:val="24"/>
          <w:szCs w:val="24"/>
          <w:highlight w:val="none"/>
          <w:lang w:val="en-US" w:eastAsia="zh-CN"/>
        </w:rPr>
        <w:t>累计</w:t>
      </w:r>
      <w:r>
        <w:rPr>
          <w:rFonts w:hint="eastAsia" w:ascii="宋体" w:hAnsi="宋体" w:eastAsia="宋体" w:cs="宋体"/>
          <w:color w:val="000000"/>
          <w:sz w:val="24"/>
          <w:szCs w:val="24"/>
          <w:highlight w:val="none"/>
          <w:lang w:eastAsia="zh-CN"/>
        </w:rPr>
        <w:t>出现上述违约情形达三次的，甲方有权单方面解除合同。</w:t>
      </w:r>
    </w:p>
    <w:p w14:paraId="7834CFEC">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甲方依据本章及合同中其他涉及乙方违约甲方解除合同的，合同自通知送达乙方之日解除，乙方应在合同解除后</w:t>
      </w:r>
      <w:r>
        <w:rPr>
          <w:rFonts w:hint="eastAsia" w:ascii="宋体" w:hAnsi="宋体" w:eastAsia="宋体" w:cs="宋体"/>
          <w:color w:val="000000"/>
          <w:sz w:val="24"/>
          <w:szCs w:val="24"/>
          <w:highlight w:val="none"/>
          <w:u w:val="single"/>
          <w:lang w:eastAsia="zh-CN"/>
        </w:rPr>
        <w:t xml:space="preserve">7 </w:t>
      </w:r>
      <w:r>
        <w:rPr>
          <w:rFonts w:hint="eastAsia" w:ascii="宋体" w:hAnsi="宋体" w:eastAsia="宋体" w:cs="宋体"/>
          <w:color w:val="000000"/>
          <w:sz w:val="24"/>
          <w:szCs w:val="24"/>
          <w:highlight w:val="none"/>
          <w:lang w:eastAsia="zh-CN"/>
        </w:rPr>
        <w:t>日内无条件撤出现场，将污水站及设备、资料等移交给甲方，乙方除应退还甲方预付的未提供服务期间的服务费用，赔偿因此给甲方造成的所有损失外，还应一次性向甲方支付10 万的违约金。</w:t>
      </w:r>
    </w:p>
    <w:p w14:paraId="3E71259E">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第十六条</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lang w:eastAsia="zh-CN"/>
        </w:rPr>
        <w:t>甲方如未按照本合同约定履行义务应赔偿乙方相应损 失。</w:t>
      </w:r>
    </w:p>
    <w:p w14:paraId="57B5A9D5">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第十七条</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lang w:eastAsia="zh-CN"/>
        </w:rPr>
        <w:t>甲方把医院污水处理站运营管理服务工作委托乙方管 理，给甲方或其他第三关联人产生的一切损失由乙方赔偿。本合同中约定的乙方应赔偿甲方损失范围，除了乙方违约给甲方造成的直接经济损失之外，还包括甲方可能垫付的罚金、赔偿款，及其他因处理纠纷所产生的合理费用、律师费、诉讼费等。</w:t>
      </w:r>
    </w:p>
    <w:p w14:paraId="525481F3">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第十八条</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lang w:eastAsia="zh-CN"/>
        </w:rPr>
        <w:t>乙方对所雇用的管理服务人员负责，须按照相关规定为乙方工作人员缴纳劳动保险，所有人员劳务纠纷由乙方承担。乙方人员应严格按照安全规程、规范就业，在作业期间造成人员伤亡、感染 等事件全部由乙方负责解决。</w:t>
      </w:r>
    </w:p>
    <w:p w14:paraId="0D65161F">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第十九条</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lang w:eastAsia="zh-CN"/>
        </w:rPr>
        <w:t>当发生紧急公共卫生事件时，乙方必须按照合同履行职责保证人员的相对稳定及所提供的管理和服务的连续性，无条件配合甲方做好非常态下的水质检测及监测任务，不得中断，不得借故终止合同，否则因乙方原因造成的损失由乙方承担且甲方有权解除合同。</w:t>
      </w:r>
    </w:p>
    <w:p w14:paraId="17A2DBAC">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第二十条</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lang w:eastAsia="zh-CN"/>
        </w:rPr>
        <w:t>合同的解除</w:t>
      </w:r>
    </w:p>
    <w:p w14:paraId="1A391A13">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eastAsia="zh-CN"/>
        </w:rPr>
        <w:t>乙方未遵守国家法律法规及安全条例，造成重大人员伤亡和重大设备损失的，甲方有权解除合同，一切责任后果由乙方承担。</w:t>
      </w:r>
    </w:p>
    <w:p w14:paraId="4E64F01B">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bookmarkStart w:id="49" w:name="bookmark60"/>
      <w:bookmarkStart w:id="50" w:name="bookmark61"/>
      <w:bookmarkStart w:id="51" w:name="bookmark59"/>
      <w:r>
        <w:rPr>
          <w:rFonts w:hint="eastAsia" w:ascii="宋体" w:hAnsi="宋体" w:eastAsia="宋体" w:cs="宋体"/>
          <w:color w:val="000000"/>
          <w:sz w:val="24"/>
          <w:szCs w:val="24"/>
          <w:highlight w:val="none"/>
          <w:lang w:eastAsia="zh-CN"/>
        </w:rPr>
        <w:t>2</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eastAsia="zh-CN"/>
        </w:rPr>
        <w:t>乙方在合同履行过程中严重违反合同约定，构成合同约定的其他解除事由，或者法定的解除事由的，甲方有权解除合同。</w:t>
      </w:r>
    </w:p>
    <w:p w14:paraId="1AC16C49">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3</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eastAsia="zh-CN"/>
        </w:rPr>
        <w:t>服务到期需要续签时，甲、乙双方如无继续合作意向需至少提前6个月通知对方，经对方同意后协商后续事宜。如甲、乙双方达成一致不再续签合同，且合同到期后如甲方未完成招标，甲、乙双方依据现行合同继续保持合作直至甲方完成招标新公司入场。</w:t>
      </w:r>
    </w:p>
    <w:p w14:paraId="629B4414">
      <w:pPr>
        <w:pStyle w:val="2"/>
        <w:pageBreakBefore w:val="0"/>
        <w:widowControl w:val="0"/>
        <w:kinsoku/>
        <w:wordWrap/>
        <w:overflowPunct/>
        <w:topLinePunct w:val="0"/>
        <w:autoSpaceDE/>
        <w:autoSpaceDN/>
        <w:bidi w:val="0"/>
        <w:adjustRightInd w:val="0"/>
        <w:snapToGrid w:val="0"/>
        <w:spacing w:line="360" w:lineRule="auto"/>
        <w:ind w:firstLine="482"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第九章合同组成</w:t>
      </w:r>
      <w:bookmarkEnd w:id="49"/>
      <w:bookmarkEnd w:id="50"/>
      <w:bookmarkEnd w:id="51"/>
    </w:p>
    <w:p w14:paraId="11A9E5D7">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bookmarkStart w:id="52" w:name="bookmark62"/>
      <w:r>
        <w:rPr>
          <w:rFonts w:hint="eastAsia" w:ascii="宋体" w:hAnsi="宋体" w:eastAsia="宋体" w:cs="宋体"/>
          <w:color w:val="000000"/>
          <w:sz w:val="24"/>
          <w:szCs w:val="24"/>
          <w:highlight w:val="none"/>
          <w:lang w:eastAsia="zh-CN"/>
        </w:rPr>
        <w:t>1</w:t>
      </w:r>
      <w:bookmarkEnd w:id="52"/>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eastAsia="zh-CN"/>
        </w:rPr>
        <w:t>国家相关规范及标准</w:t>
      </w:r>
      <w:bookmarkStart w:id="53" w:name="bookmark63"/>
      <w:r>
        <w:rPr>
          <w:rFonts w:hint="eastAsia" w:ascii="宋体" w:hAnsi="宋体" w:eastAsia="宋体" w:cs="宋体"/>
          <w:color w:val="000000"/>
          <w:sz w:val="24"/>
          <w:szCs w:val="24"/>
          <w:highlight w:val="none"/>
          <w:lang w:eastAsia="zh-CN"/>
        </w:rPr>
        <w:t xml:space="preserve"> 2</w:t>
      </w:r>
      <w:bookmarkEnd w:id="53"/>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eastAsia="zh-CN"/>
        </w:rPr>
        <w:t>合同文件</w:t>
      </w:r>
      <w:bookmarkStart w:id="54" w:name="bookmark64"/>
      <w:r>
        <w:rPr>
          <w:rFonts w:hint="eastAsia" w:ascii="宋体" w:hAnsi="宋体" w:eastAsia="宋体" w:cs="宋体"/>
          <w:color w:val="000000"/>
          <w:sz w:val="24"/>
          <w:szCs w:val="24"/>
          <w:highlight w:val="none"/>
          <w:lang w:eastAsia="zh-CN"/>
        </w:rPr>
        <w:t>3</w:t>
      </w:r>
      <w:bookmarkEnd w:id="54"/>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eastAsia="zh-CN"/>
        </w:rPr>
        <w:t>成交通知书</w:t>
      </w:r>
      <w:bookmarkStart w:id="55" w:name="bookmark65"/>
      <w:r>
        <w:rPr>
          <w:rFonts w:hint="eastAsia" w:ascii="宋体" w:hAnsi="宋体" w:eastAsia="宋体" w:cs="宋体"/>
          <w:color w:val="000000"/>
          <w:sz w:val="24"/>
          <w:szCs w:val="24"/>
          <w:highlight w:val="none"/>
          <w:lang w:eastAsia="zh-CN"/>
        </w:rPr>
        <w:t>4</w:t>
      </w:r>
      <w:bookmarkEnd w:id="55"/>
      <w:r>
        <w:rPr>
          <w:rFonts w:hint="eastAsia" w:ascii="宋体" w:hAnsi="宋体" w:eastAsia="宋体" w:cs="宋体"/>
          <w:color w:val="000000"/>
          <w:sz w:val="24"/>
          <w:szCs w:val="24"/>
          <w:highlight w:val="none"/>
          <w:lang w:val="en-US" w:eastAsia="zh-CN"/>
        </w:rPr>
        <w:t>.竞争性磋商</w:t>
      </w:r>
      <w:r>
        <w:rPr>
          <w:rFonts w:hint="eastAsia" w:ascii="宋体" w:hAnsi="宋体" w:eastAsia="宋体" w:cs="宋体"/>
          <w:color w:val="000000"/>
          <w:sz w:val="24"/>
          <w:szCs w:val="24"/>
          <w:highlight w:val="none"/>
          <w:lang w:eastAsia="zh-CN"/>
        </w:rPr>
        <w:t>文件</w:t>
      </w:r>
      <w:bookmarkStart w:id="56" w:name="bookmark66"/>
      <w:r>
        <w:rPr>
          <w:rFonts w:hint="eastAsia" w:ascii="宋体" w:hAnsi="宋体" w:eastAsia="宋体" w:cs="宋体"/>
          <w:color w:val="000000"/>
          <w:sz w:val="24"/>
          <w:szCs w:val="24"/>
          <w:highlight w:val="none"/>
          <w:lang w:eastAsia="zh-CN"/>
        </w:rPr>
        <w:t>5</w:t>
      </w:r>
      <w:bookmarkEnd w:id="56"/>
      <w:r>
        <w:rPr>
          <w:rFonts w:hint="eastAsia" w:ascii="宋体" w:hAnsi="宋体" w:eastAsia="宋体" w:cs="宋体"/>
          <w:color w:val="000000"/>
          <w:sz w:val="24"/>
          <w:szCs w:val="24"/>
          <w:highlight w:val="none"/>
          <w:lang w:val="en-US" w:eastAsia="zh-CN"/>
        </w:rPr>
        <w:t>.响应</w:t>
      </w:r>
      <w:r>
        <w:rPr>
          <w:rFonts w:hint="eastAsia" w:ascii="宋体" w:hAnsi="宋体" w:eastAsia="宋体" w:cs="宋体"/>
          <w:color w:val="000000"/>
          <w:sz w:val="24"/>
          <w:szCs w:val="24"/>
          <w:highlight w:val="none"/>
          <w:lang w:eastAsia="zh-CN"/>
        </w:rPr>
        <w:t>文件</w:t>
      </w:r>
    </w:p>
    <w:p w14:paraId="3E5E9A0D">
      <w:pPr>
        <w:pStyle w:val="2"/>
        <w:pageBreakBefore w:val="0"/>
        <w:widowControl w:val="0"/>
        <w:kinsoku/>
        <w:wordWrap/>
        <w:overflowPunct/>
        <w:topLinePunct w:val="0"/>
        <w:autoSpaceDE/>
        <w:autoSpaceDN/>
        <w:bidi w:val="0"/>
        <w:adjustRightInd w:val="0"/>
        <w:snapToGrid w:val="0"/>
        <w:spacing w:line="360" w:lineRule="auto"/>
        <w:ind w:firstLine="482" w:firstLineChars="200"/>
        <w:rPr>
          <w:rFonts w:hint="eastAsia" w:ascii="宋体" w:hAnsi="宋体" w:eastAsia="宋体" w:cs="宋体"/>
          <w:color w:val="000000"/>
          <w:sz w:val="24"/>
          <w:szCs w:val="24"/>
          <w:highlight w:val="none"/>
          <w:lang w:eastAsia="zh-CN"/>
        </w:rPr>
      </w:pPr>
      <w:bookmarkStart w:id="57" w:name="bookmark67"/>
      <w:bookmarkStart w:id="58" w:name="bookmark69"/>
      <w:bookmarkStart w:id="59" w:name="bookmark68"/>
      <w:r>
        <w:rPr>
          <w:rFonts w:hint="eastAsia" w:ascii="宋体" w:hAnsi="宋体" w:eastAsia="宋体" w:cs="宋体"/>
          <w:color w:val="000000"/>
          <w:sz w:val="24"/>
          <w:szCs w:val="24"/>
          <w:highlight w:val="none"/>
          <w:lang w:eastAsia="zh-CN"/>
        </w:rPr>
        <w:t>第十章其他事项</w:t>
      </w:r>
      <w:bookmarkEnd w:id="57"/>
      <w:bookmarkEnd w:id="58"/>
      <w:bookmarkEnd w:id="59"/>
    </w:p>
    <w:p w14:paraId="69659BE0">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第二十二条</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lang w:eastAsia="zh-CN"/>
        </w:rPr>
        <w:t>甲方与乙方签订运营合同后，即为乙方对接受本合同 内容的承诺。</w:t>
      </w:r>
    </w:p>
    <w:p w14:paraId="066271AD">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第二十三条</w:t>
      </w:r>
      <w:r>
        <w:rPr>
          <w:rFonts w:hint="eastAsia" w:ascii="宋体" w:hAnsi="宋体" w:eastAsia="宋体" w:cs="宋体"/>
          <w:color w:val="000000"/>
          <w:sz w:val="24"/>
          <w:szCs w:val="24"/>
          <w:highlight w:val="none"/>
          <w:lang w:val="en-US" w:eastAsia="zh-CN"/>
        </w:rPr>
        <w:t xml:space="preserve"> </w:t>
      </w:r>
      <w:r>
        <w:rPr>
          <w:rFonts w:hint="eastAsia" w:ascii="宋体" w:hAnsi="宋体" w:eastAsia="宋体" w:cs="宋体"/>
          <w:color w:val="000000"/>
          <w:sz w:val="24"/>
          <w:szCs w:val="24"/>
          <w:highlight w:val="none"/>
          <w:lang w:eastAsia="zh-CN"/>
        </w:rPr>
        <w:t>其他责任</w:t>
      </w:r>
    </w:p>
    <w:p w14:paraId="75BBADA4">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w:t>
      </w:r>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eastAsia="zh-CN"/>
        </w:rPr>
        <w:t>本合同终止时，乙方应将污水站管理用房、相关资料等属于甲方所有的设备、财物及时完整地移交给甲方。</w:t>
      </w:r>
    </w:p>
    <w:p w14:paraId="42DE0DC2">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bookmarkStart w:id="60" w:name="bookmark70"/>
      <w:r>
        <w:rPr>
          <w:rFonts w:hint="eastAsia" w:ascii="宋体" w:hAnsi="宋体" w:eastAsia="宋体" w:cs="宋体"/>
          <w:color w:val="000000"/>
          <w:sz w:val="24"/>
          <w:szCs w:val="24"/>
          <w:highlight w:val="none"/>
          <w:lang w:eastAsia="zh-CN"/>
        </w:rPr>
        <w:t>2</w:t>
      </w:r>
      <w:bookmarkEnd w:id="60"/>
      <w:r>
        <w:rPr>
          <w:rFonts w:hint="eastAsia" w:ascii="宋体" w:hAnsi="宋体" w:eastAsia="宋体" w:cs="宋体"/>
          <w:color w:val="000000"/>
          <w:sz w:val="24"/>
          <w:szCs w:val="24"/>
          <w:highlight w:val="none"/>
          <w:lang w:val="en-US" w:eastAsia="zh-CN"/>
        </w:rPr>
        <w:t>.</w:t>
      </w:r>
      <w:r>
        <w:rPr>
          <w:rFonts w:hint="eastAsia" w:ascii="宋体" w:hAnsi="宋体" w:eastAsia="宋体" w:cs="宋体"/>
          <w:color w:val="000000"/>
          <w:sz w:val="24"/>
          <w:szCs w:val="24"/>
          <w:highlight w:val="none"/>
          <w:lang w:eastAsia="zh-CN"/>
        </w:rPr>
        <w:t>在污水站管理规定范围内如遇有紧急情况需要立即处理，乙方应在第一时间做出反应，及时汇报通知甲方，提出相应的行动方案，经甲方签收确认后实施此方案，由此而发生的合同外费用按照甲方签收确认的方案中的费用结算。</w:t>
      </w:r>
    </w:p>
    <w:p w14:paraId="78825EBF">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lang w:eastAsia="zh-CN"/>
        </w:rPr>
        <w:t>完成院方临时安排的其他有关污水站运维的工作。</w:t>
      </w:r>
    </w:p>
    <w:p w14:paraId="29B2EFC5">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lang w:eastAsia="zh-CN"/>
        </w:rPr>
        <w:t>乙方承诺对因开展本次服务和货物买卖活动（包括安装、伴随 服务等相关环节）引起的所有财产损失及人身伤害承担全部赔偿责任。</w:t>
      </w:r>
    </w:p>
    <w:p w14:paraId="430BC25B">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lang w:eastAsia="zh-CN"/>
        </w:rPr>
        <w:t>安全运营：污水站运营过程中的安全</w:t>
      </w:r>
      <w:r>
        <w:rPr>
          <w:rFonts w:hint="eastAsia" w:ascii="宋体" w:hAnsi="宋体" w:eastAsia="宋体" w:cs="宋体"/>
          <w:color w:val="000000"/>
          <w:sz w:val="24"/>
          <w:szCs w:val="24"/>
          <w:highlight w:val="none"/>
          <w:lang w:val="en-US" w:eastAsia="zh-CN"/>
        </w:rPr>
        <w:t>及合规</w:t>
      </w:r>
      <w:r>
        <w:rPr>
          <w:rFonts w:hint="eastAsia" w:ascii="宋体" w:hAnsi="宋体" w:eastAsia="宋体" w:cs="宋体"/>
          <w:color w:val="000000"/>
          <w:sz w:val="24"/>
          <w:szCs w:val="24"/>
          <w:highlight w:val="none"/>
          <w:lang w:eastAsia="zh-CN"/>
        </w:rPr>
        <w:t>责任由乙方承担。</w:t>
      </w:r>
    </w:p>
    <w:p w14:paraId="03C3711A">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lang w:eastAsia="zh-CN"/>
        </w:rPr>
        <w:t>达标排放：污水</w:t>
      </w:r>
      <w:r>
        <w:rPr>
          <w:rFonts w:hint="eastAsia" w:ascii="宋体" w:hAnsi="宋体" w:eastAsia="宋体" w:cs="宋体"/>
          <w:color w:val="000000"/>
          <w:sz w:val="24"/>
          <w:szCs w:val="24"/>
          <w:highlight w:val="none"/>
          <w:lang w:val="en-US" w:eastAsia="zh-CN"/>
        </w:rPr>
        <w:t>排放</w:t>
      </w:r>
      <w:r>
        <w:rPr>
          <w:rFonts w:hint="eastAsia" w:ascii="宋体" w:hAnsi="宋体" w:eastAsia="宋体" w:cs="宋体"/>
          <w:color w:val="000000"/>
          <w:sz w:val="24"/>
          <w:szCs w:val="24"/>
          <w:highlight w:val="none"/>
          <w:lang w:eastAsia="zh-CN"/>
        </w:rPr>
        <w:t>不达标所引起的一切责任及经济处罚由乙方承担。</w:t>
      </w:r>
    </w:p>
    <w:p w14:paraId="2AE9D1DA">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lang w:eastAsia="zh-CN"/>
        </w:rPr>
        <w:t>甲方在中华人民共和国境内使用乙方提供的货物及服务时免 受第三方提出的侵犯其专利或其他知识产权的起诉。如果第三方提出 侵犯质控，乙方应承担由此而引起的一切法律责任和费用。</w:t>
      </w:r>
    </w:p>
    <w:p w14:paraId="0D0F8EB7">
      <w:pPr>
        <w:pStyle w:val="2"/>
        <w:pageBreakBefore w:val="0"/>
        <w:widowControl w:val="0"/>
        <w:kinsoku/>
        <w:wordWrap/>
        <w:overflowPunct/>
        <w:topLinePunct w:val="0"/>
        <w:autoSpaceDE/>
        <w:autoSpaceDN/>
        <w:bidi w:val="0"/>
        <w:adjustRightInd w:val="0"/>
        <w:snapToGrid w:val="0"/>
        <w:spacing w:line="360" w:lineRule="auto"/>
        <w:ind w:firstLine="482" w:firstLineChars="200"/>
        <w:rPr>
          <w:rFonts w:hint="eastAsia" w:ascii="宋体" w:hAnsi="宋体" w:eastAsia="宋体" w:cs="宋体"/>
          <w:color w:val="000000"/>
          <w:sz w:val="24"/>
          <w:szCs w:val="24"/>
          <w:highlight w:val="none"/>
          <w:lang w:eastAsia="zh-CN"/>
        </w:rPr>
      </w:pPr>
      <w:bookmarkStart w:id="61" w:name="bookmark79"/>
      <w:bookmarkStart w:id="62" w:name="bookmark77"/>
      <w:bookmarkStart w:id="63" w:name="bookmark78"/>
      <w:r>
        <w:rPr>
          <w:rFonts w:hint="eastAsia" w:ascii="宋体" w:hAnsi="宋体" w:eastAsia="宋体" w:cs="宋体"/>
          <w:color w:val="000000"/>
          <w:sz w:val="24"/>
          <w:szCs w:val="24"/>
          <w:highlight w:val="none"/>
          <w:lang w:eastAsia="zh-CN"/>
        </w:rPr>
        <w:t>第十一章争议解决</w:t>
      </w:r>
      <w:bookmarkEnd w:id="61"/>
      <w:bookmarkEnd w:id="62"/>
      <w:bookmarkEnd w:id="63"/>
    </w:p>
    <w:p w14:paraId="413E0CA7">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第二十四条 合同一经签订，双方应严格履行，如发生争议应协商 解决，协商不成任何一方均可到甲方所在地人民法院提起诉讼。</w:t>
      </w:r>
    </w:p>
    <w:p w14:paraId="22248C2A">
      <w:pPr>
        <w:pStyle w:val="2"/>
        <w:pageBreakBefore w:val="0"/>
        <w:widowControl w:val="0"/>
        <w:kinsoku/>
        <w:wordWrap/>
        <w:overflowPunct/>
        <w:topLinePunct w:val="0"/>
        <w:autoSpaceDE/>
        <w:autoSpaceDN/>
        <w:bidi w:val="0"/>
        <w:adjustRightInd w:val="0"/>
        <w:snapToGrid w:val="0"/>
        <w:spacing w:line="360" w:lineRule="auto"/>
        <w:ind w:firstLine="482" w:firstLineChars="200"/>
        <w:rPr>
          <w:rFonts w:hint="eastAsia" w:ascii="宋体" w:hAnsi="宋体" w:eastAsia="宋体" w:cs="宋体"/>
          <w:color w:val="000000"/>
          <w:sz w:val="24"/>
          <w:szCs w:val="24"/>
          <w:highlight w:val="none"/>
          <w:lang w:eastAsia="zh-CN"/>
        </w:rPr>
      </w:pPr>
      <w:bookmarkStart w:id="64" w:name="bookmark82"/>
      <w:bookmarkStart w:id="65" w:name="bookmark81"/>
      <w:bookmarkStart w:id="66" w:name="bookmark80"/>
      <w:r>
        <w:rPr>
          <w:rFonts w:hint="eastAsia" w:ascii="宋体" w:hAnsi="宋体" w:eastAsia="宋体" w:cs="宋体"/>
          <w:color w:val="000000"/>
          <w:sz w:val="24"/>
          <w:szCs w:val="24"/>
          <w:highlight w:val="none"/>
          <w:lang w:eastAsia="zh-CN"/>
        </w:rPr>
        <w:t>第十二章附则</w:t>
      </w:r>
      <w:bookmarkEnd w:id="64"/>
      <w:bookmarkEnd w:id="65"/>
      <w:bookmarkEnd w:id="66"/>
    </w:p>
    <w:p w14:paraId="0C493F9E">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第二十五条 双方对本合同的未尽事宜另行签署补充协议，补充协议与本合同具有同等法律效力。</w:t>
      </w:r>
    </w:p>
    <w:p w14:paraId="15791373">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第二十六条本合同及其附件和补充协议中未规定的事项，均遵照本合同有效期内国家的相关法律、法规、规章执行。</w:t>
      </w:r>
    </w:p>
    <w:p w14:paraId="0A113FAF">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第二十七条 本合同之附件、补充协议、原招标文件、投标文件均 为合同有效组成部分。原招标文件、投标文件、本合同及其附件、补充协议内，空格部分填写的文件与打印文字具有同等法律效力。</w:t>
      </w:r>
    </w:p>
    <w:p w14:paraId="6B04BA17">
      <w:pPr>
        <w:pageBreakBefore w:val="0"/>
        <w:widowControl w:val="0"/>
        <w:kinsoku/>
        <w:wordWrap/>
        <w:overflowPunct/>
        <w:topLinePunct w:val="0"/>
        <w:autoSpaceDE/>
        <w:autoSpaceDN/>
        <w:bidi w:val="0"/>
        <w:adjustRightInd w:val="0"/>
        <w:snapToGrid w:val="0"/>
        <w:spacing w:line="360" w:lineRule="auto"/>
        <w:ind w:firstLine="480" w:firstLineChars="200"/>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第二十八条 对甲方提出的特约服务事项，双方另行签订书面协议。</w:t>
      </w:r>
    </w:p>
    <w:p w14:paraId="11E0E109">
      <w:pPr>
        <w:pStyle w:val="5"/>
        <w:pageBreakBefore w:val="0"/>
        <w:widowControl w:val="0"/>
        <w:kinsoku/>
        <w:wordWrap/>
        <w:overflowPunct/>
        <w:topLinePunct w:val="0"/>
        <w:autoSpaceDE/>
        <w:autoSpaceDN/>
        <w:bidi w:val="0"/>
        <w:adjustRightInd w:val="0"/>
        <w:snapToGrid w:val="0"/>
        <w:spacing w:line="360" w:lineRule="auto"/>
        <w:ind w:firstLine="480" w:firstLineChars="200"/>
        <w:jc w:val="both"/>
        <w:rPr>
          <w:rFonts w:hint="eastAsia" w:ascii="宋体" w:hAnsi="宋体" w:eastAsia="宋体" w:cs="宋体"/>
          <w:sz w:val="24"/>
          <w:szCs w:val="24"/>
          <w:highlight w:val="none"/>
          <w:lang w:eastAsia="zh-CN"/>
        </w:rPr>
      </w:pPr>
      <w:r>
        <w:rPr>
          <w:rFonts w:hint="eastAsia" w:ascii="宋体" w:hAnsi="宋体" w:eastAsia="宋体" w:cs="宋体"/>
          <w:color w:val="000000"/>
          <w:sz w:val="24"/>
          <w:szCs w:val="24"/>
          <w:highlight w:val="none"/>
          <w:lang w:eastAsia="zh-CN"/>
        </w:rPr>
        <w:t>第二十九条 送达方式本合同内约定的联系方式和联系信息适用于双方往来联系、书面文件送达及争议解决时人民法院法律文书送达。任何一方变更名称、地址、联系人或通信终端的，应当在变更后3日内及时书面通知另一方，各方实际收到变更通知前的送达仍为有效送达，因合同内联系方式和联系信息错误而无法直接送达的自交邮后3日视为送达。</w:t>
      </w:r>
    </w:p>
    <w:p w14:paraId="1512866C">
      <w:pPr>
        <w:pStyle w:val="5"/>
        <w:pageBreakBefore w:val="0"/>
        <w:widowControl w:val="0"/>
        <w:kinsoku/>
        <w:wordWrap/>
        <w:overflowPunct/>
        <w:topLinePunct w:val="0"/>
        <w:autoSpaceDE/>
        <w:autoSpaceDN/>
        <w:bidi w:val="0"/>
        <w:adjustRightInd w:val="0"/>
        <w:snapToGrid w:val="0"/>
        <w:spacing w:line="360" w:lineRule="auto"/>
        <w:ind w:firstLine="480" w:firstLineChars="200"/>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第三十条 合同共捌份，甲方持陆份，乙方执贰份，自甲乙双方盖章之日起生效。本合同按照合同有效期内国家的相关法律、法规、规章执行。</w:t>
      </w:r>
    </w:p>
    <w:p w14:paraId="6C8B54E7">
      <w:pPr>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以下无正文</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eastAsia="zh-CN"/>
        </w:rPr>
        <w:br w:type="page"/>
      </w:r>
    </w:p>
    <w:p w14:paraId="2CDC23C2">
      <w:pPr>
        <w:pStyle w:val="5"/>
        <w:ind w:firstLine="560"/>
        <w:jc w:val="left"/>
        <w:rPr>
          <w:color w:val="000000"/>
          <w:highlight w:val="none"/>
          <w:lang w:eastAsia="zh-CN"/>
        </w:rPr>
      </w:pPr>
    </w:p>
    <w:tbl>
      <w:tblPr>
        <w:tblStyle w:val="6"/>
        <w:tblW w:w="8980" w:type="dxa"/>
        <w:jc w:val="center"/>
        <w:tblLayout w:type="fixed"/>
        <w:tblCellMar>
          <w:top w:w="0" w:type="dxa"/>
          <w:left w:w="10" w:type="dxa"/>
          <w:bottom w:w="0" w:type="dxa"/>
          <w:right w:w="10" w:type="dxa"/>
        </w:tblCellMar>
      </w:tblPr>
      <w:tblGrid>
        <w:gridCol w:w="2245"/>
        <w:gridCol w:w="2245"/>
        <w:gridCol w:w="2245"/>
        <w:gridCol w:w="2245"/>
      </w:tblGrid>
      <w:tr w14:paraId="26F96074">
        <w:tblPrEx>
          <w:tblCellMar>
            <w:top w:w="0" w:type="dxa"/>
            <w:left w:w="10" w:type="dxa"/>
            <w:bottom w:w="0" w:type="dxa"/>
            <w:right w:w="10" w:type="dxa"/>
          </w:tblCellMar>
        </w:tblPrEx>
        <w:trPr>
          <w:trHeight w:val="1005" w:hRule="exact"/>
          <w:jc w:val="center"/>
        </w:trPr>
        <w:tc>
          <w:tcPr>
            <w:tcW w:w="2245" w:type="dxa"/>
            <w:tcBorders>
              <w:top w:val="single" w:color="auto" w:sz="4" w:space="0"/>
              <w:left w:val="single" w:color="auto" w:sz="4" w:space="0"/>
            </w:tcBorders>
            <w:shd w:val="clear" w:color="auto" w:fill="FFFFFF"/>
            <w:noWrap w:val="0"/>
            <w:vAlign w:val="top"/>
          </w:tcPr>
          <w:p w14:paraId="3C5E9207">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br w:type="page"/>
            </w:r>
            <w:r>
              <w:rPr>
                <w:rFonts w:hint="eastAsia" w:ascii="宋体" w:hAnsi="宋体" w:eastAsia="宋体" w:cs="宋体"/>
                <w:sz w:val="24"/>
                <w:szCs w:val="24"/>
                <w:highlight w:val="none"/>
                <w:lang w:eastAsia="zh-CN"/>
              </w:rPr>
              <w:t>甲方（盖章）：陕西中医药大学附属医院</w:t>
            </w:r>
          </w:p>
        </w:tc>
        <w:tc>
          <w:tcPr>
            <w:tcW w:w="2245" w:type="dxa"/>
            <w:tcBorders>
              <w:top w:val="single" w:color="auto" w:sz="4" w:space="0"/>
              <w:left w:val="single" w:color="auto" w:sz="4" w:space="0"/>
            </w:tcBorders>
            <w:shd w:val="clear" w:color="auto" w:fill="FFFFFF"/>
            <w:noWrap w:val="0"/>
            <w:vAlign w:val="bottom"/>
          </w:tcPr>
          <w:p w14:paraId="2E4A9E93">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p>
        </w:tc>
        <w:tc>
          <w:tcPr>
            <w:tcW w:w="2245" w:type="dxa"/>
            <w:tcBorders>
              <w:top w:val="single" w:color="auto" w:sz="4" w:space="0"/>
              <w:left w:val="single" w:color="auto" w:sz="4" w:space="0"/>
            </w:tcBorders>
            <w:shd w:val="clear" w:color="auto" w:fill="FFFFFF"/>
            <w:noWrap w:val="0"/>
            <w:vAlign w:val="top"/>
          </w:tcPr>
          <w:p w14:paraId="5362B30B">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乙方（盖章）：</w:t>
            </w:r>
          </w:p>
          <w:p w14:paraId="003CC0FF">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p>
        </w:tc>
        <w:tc>
          <w:tcPr>
            <w:tcW w:w="2245" w:type="dxa"/>
            <w:tcBorders>
              <w:top w:val="single" w:color="auto" w:sz="4" w:space="0"/>
              <w:left w:val="single" w:color="auto" w:sz="4" w:space="0"/>
              <w:right w:val="single" w:color="auto" w:sz="4" w:space="0"/>
            </w:tcBorders>
            <w:shd w:val="clear" w:color="auto" w:fill="FFFFFF"/>
            <w:noWrap w:val="0"/>
            <w:vAlign w:val="top"/>
          </w:tcPr>
          <w:p w14:paraId="3D7E86AB">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p>
        </w:tc>
      </w:tr>
      <w:tr w14:paraId="311C6729">
        <w:tblPrEx>
          <w:tblCellMar>
            <w:top w:w="0" w:type="dxa"/>
            <w:left w:w="10" w:type="dxa"/>
            <w:bottom w:w="0" w:type="dxa"/>
            <w:right w:w="10" w:type="dxa"/>
          </w:tblCellMar>
        </w:tblPrEx>
        <w:trPr>
          <w:trHeight w:val="836" w:hRule="exact"/>
          <w:jc w:val="center"/>
        </w:trPr>
        <w:tc>
          <w:tcPr>
            <w:tcW w:w="2245" w:type="dxa"/>
            <w:tcBorders>
              <w:top w:val="single" w:color="auto" w:sz="4" w:space="0"/>
              <w:left w:val="single" w:color="auto" w:sz="4" w:space="0"/>
            </w:tcBorders>
            <w:shd w:val="clear" w:color="auto" w:fill="FFFFFF"/>
            <w:noWrap w:val="0"/>
            <w:vAlign w:val="top"/>
          </w:tcPr>
          <w:p w14:paraId="7F9A3A64">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签字：</w:t>
            </w:r>
          </w:p>
        </w:tc>
        <w:tc>
          <w:tcPr>
            <w:tcW w:w="2245" w:type="dxa"/>
            <w:tcBorders>
              <w:top w:val="single" w:color="auto" w:sz="4" w:space="0"/>
              <w:left w:val="single" w:color="auto" w:sz="4" w:space="0"/>
            </w:tcBorders>
            <w:shd w:val="clear" w:color="auto" w:fill="FFFFFF"/>
            <w:noWrap w:val="0"/>
            <w:vAlign w:val="top"/>
          </w:tcPr>
          <w:p w14:paraId="126215D3">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p>
        </w:tc>
        <w:tc>
          <w:tcPr>
            <w:tcW w:w="2245" w:type="dxa"/>
            <w:tcBorders>
              <w:top w:val="single" w:color="auto" w:sz="4" w:space="0"/>
              <w:left w:val="single" w:color="auto" w:sz="4" w:space="0"/>
            </w:tcBorders>
            <w:shd w:val="clear" w:color="auto" w:fill="FFFFFF"/>
            <w:noWrap w:val="0"/>
            <w:vAlign w:val="top"/>
          </w:tcPr>
          <w:p w14:paraId="617E3138">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签字：</w:t>
            </w:r>
          </w:p>
        </w:tc>
        <w:tc>
          <w:tcPr>
            <w:tcW w:w="2245" w:type="dxa"/>
            <w:tcBorders>
              <w:top w:val="single" w:color="auto" w:sz="4" w:space="0"/>
              <w:left w:val="single" w:color="auto" w:sz="4" w:space="0"/>
              <w:right w:val="single" w:color="auto" w:sz="4" w:space="0"/>
            </w:tcBorders>
            <w:shd w:val="clear" w:color="auto" w:fill="FFFFFF"/>
            <w:noWrap w:val="0"/>
            <w:vAlign w:val="top"/>
          </w:tcPr>
          <w:p w14:paraId="0F1FC32A">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p>
        </w:tc>
      </w:tr>
      <w:tr w14:paraId="76A36EB7">
        <w:tblPrEx>
          <w:tblCellMar>
            <w:top w:w="0" w:type="dxa"/>
            <w:left w:w="10" w:type="dxa"/>
            <w:bottom w:w="0" w:type="dxa"/>
            <w:right w:w="10" w:type="dxa"/>
          </w:tblCellMar>
        </w:tblPrEx>
        <w:trPr>
          <w:trHeight w:val="1111" w:hRule="exact"/>
          <w:jc w:val="center"/>
        </w:trPr>
        <w:tc>
          <w:tcPr>
            <w:tcW w:w="2245" w:type="dxa"/>
            <w:tcBorders>
              <w:top w:val="single" w:color="auto" w:sz="4" w:space="0"/>
              <w:left w:val="single" w:color="auto" w:sz="4" w:space="0"/>
            </w:tcBorders>
            <w:shd w:val="clear" w:color="auto" w:fill="FFFFFF"/>
            <w:noWrap w:val="0"/>
            <w:vAlign w:val="top"/>
          </w:tcPr>
          <w:p w14:paraId="38CA2F74">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地址：</w:t>
            </w:r>
          </w:p>
        </w:tc>
        <w:tc>
          <w:tcPr>
            <w:tcW w:w="2245" w:type="dxa"/>
            <w:tcBorders>
              <w:top w:val="single" w:color="auto" w:sz="4" w:space="0"/>
              <w:left w:val="single" w:color="auto" w:sz="4" w:space="0"/>
            </w:tcBorders>
            <w:shd w:val="clear" w:color="auto" w:fill="FFFFFF"/>
            <w:noWrap w:val="0"/>
            <w:vAlign w:val="top"/>
          </w:tcPr>
          <w:p w14:paraId="3E256507">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咸阳市秦都区渭阳西路副二号</w:t>
            </w:r>
          </w:p>
        </w:tc>
        <w:tc>
          <w:tcPr>
            <w:tcW w:w="2245" w:type="dxa"/>
            <w:tcBorders>
              <w:top w:val="single" w:color="auto" w:sz="4" w:space="0"/>
              <w:left w:val="single" w:color="auto" w:sz="4" w:space="0"/>
            </w:tcBorders>
            <w:shd w:val="clear" w:color="auto" w:fill="FFFFFF"/>
            <w:noWrap w:val="0"/>
            <w:vAlign w:val="top"/>
          </w:tcPr>
          <w:p w14:paraId="63828A50">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地址：</w:t>
            </w:r>
          </w:p>
        </w:tc>
        <w:tc>
          <w:tcPr>
            <w:tcW w:w="2245" w:type="dxa"/>
            <w:tcBorders>
              <w:top w:val="single" w:color="auto" w:sz="4" w:space="0"/>
              <w:left w:val="single" w:color="auto" w:sz="4" w:space="0"/>
              <w:right w:val="single" w:color="auto" w:sz="4" w:space="0"/>
            </w:tcBorders>
            <w:shd w:val="clear" w:color="auto" w:fill="FFFFFF"/>
            <w:noWrap w:val="0"/>
            <w:vAlign w:val="top"/>
          </w:tcPr>
          <w:p w14:paraId="33EAF9E3">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p>
        </w:tc>
      </w:tr>
      <w:tr w14:paraId="119F3AB9">
        <w:tblPrEx>
          <w:tblCellMar>
            <w:top w:w="0" w:type="dxa"/>
            <w:left w:w="10" w:type="dxa"/>
            <w:bottom w:w="0" w:type="dxa"/>
            <w:right w:w="10" w:type="dxa"/>
          </w:tblCellMar>
        </w:tblPrEx>
        <w:trPr>
          <w:trHeight w:val="557" w:hRule="exact"/>
          <w:jc w:val="center"/>
        </w:trPr>
        <w:tc>
          <w:tcPr>
            <w:tcW w:w="2245" w:type="dxa"/>
            <w:tcBorders>
              <w:top w:val="single" w:color="auto" w:sz="4" w:space="0"/>
              <w:left w:val="single" w:color="auto" w:sz="4" w:space="0"/>
            </w:tcBorders>
            <w:shd w:val="clear" w:color="auto" w:fill="FFFFFF"/>
            <w:noWrap w:val="0"/>
            <w:vAlign w:val="center"/>
          </w:tcPr>
          <w:p w14:paraId="6ADA8F40">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电话：</w:t>
            </w:r>
          </w:p>
        </w:tc>
        <w:tc>
          <w:tcPr>
            <w:tcW w:w="2245" w:type="dxa"/>
            <w:tcBorders>
              <w:top w:val="single" w:color="auto" w:sz="4" w:space="0"/>
              <w:left w:val="single" w:color="auto" w:sz="4" w:space="0"/>
            </w:tcBorders>
            <w:shd w:val="clear" w:color="auto" w:fill="FFFFFF"/>
            <w:noWrap w:val="0"/>
            <w:vAlign w:val="top"/>
          </w:tcPr>
          <w:p w14:paraId="45A43CD5">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029-33320970</w:t>
            </w:r>
          </w:p>
        </w:tc>
        <w:tc>
          <w:tcPr>
            <w:tcW w:w="2245" w:type="dxa"/>
            <w:tcBorders>
              <w:top w:val="single" w:color="auto" w:sz="4" w:space="0"/>
              <w:left w:val="single" w:color="auto" w:sz="4" w:space="0"/>
            </w:tcBorders>
            <w:shd w:val="clear" w:color="auto" w:fill="FFFFFF"/>
            <w:noWrap w:val="0"/>
            <w:vAlign w:val="center"/>
          </w:tcPr>
          <w:p w14:paraId="14A32EB0">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电话：</w:t>
            </w:r>
          </w:p>
        </w:tc>
        <w:tc>
          <w:tcPr>
            <w:tcW w:w="2245" w:type="dxa"/>
            <w:tcBorders>
              <w:top w:val="single" w:color="auto" w:sz="4" w:space="0"/>
              <w:left w:val="single" w:color="auto" w:sz="4" w:space="0"/>
              <w:right w:val="single" w:color="auto" w:sz="4" w:space="0"/>
            </w:tcBorders>
            <w:shd w:val="clear" w:color="auto" w:fill="FFFFFF"/>
            <w:noWrap w:val="0"/>
            <w:vAlign w:val="top"/>
          </w:tcPr>
          <w:p w14:paraId="3D23A16F">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p>
        </w:tc>
      </w:tr>
      <w:tr w14:paraId="09D47632">
        <w:tblPrEx>
          <w:tblCellMar>
            <w:top w:w="0" w:type="dxa"/>
            <w:left w:w="10" w:type="dxa"/>
            <w:bottom w:w="0" w:type="dxa"/>
            <w:right w:w="10" w:type="dxa"/>
          </w:tblCellMar>
        </w:tblPrEx>
        <w:trPr>
          <w:trHeight w:val="557" w:hRule="exact"/>
          <w:jc w:val="center"/>
        </w:trPr>
        <w:tc>
          <w:tcPr>
            <w:tcW w:w="2245" w:type="dxa"/>
            <w:tcBorders>
              <w:top w:val="single" w:color="auto" w:sz="4" w:space="0"/>
              <w:left w:val="single" w:color="auto" w:sz="4" w:space="0"/>
            </w:tcBorders>
            <w:shd w:val="clear" w:color="auto" w:fill="FFFFFF"/>
            <w:noWrap w:val="0"/>
            <w:vAlign w:val="center"/>
          </w:tcPr>
          <w:p w14:paraId="25A36BCC">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传真：</w:t>
            </w:r>
          </w:p>
        </w:tc>
        <w:tc>
          <w:tcPr>
            <w:tcW w:w="2245" w:type="dxa"/>
            <w:tcBorders>
              <w:top w:val="single" w:color="auto" w:sz="4" w:space="0"/>
              <w:left w:val="single" w:color="auto" w:sz="4" w:space="0"/>
            </w:tcBorders>
            <w:shd w:val="clear" w:color="auto" w:fill="FFFFFF"/>
            <w:noWrap w:val="0"/>
            <w:vAlign w:val="top"/>
          </w:tcPr>
          <w:p w14:paraId="4A3A87D5">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p>
        </w:tc>
        <w:tc>
          <w:tcPr>
            <w:tcW w:w="2245" w:type="dxa"/>
            <w:tcBorders>
              <w:top w:val="single" w:color="auto" w:sz="4" w:space="0"/>
              <w:left w:val="single" w:color="auto" w:sz="4" w:space="0"/>
            </w:tcBorders>
            <w:shd w:val="clear" w:color="auto" w:fill="FFFFFF"/>
            <w:noWrap w:val="0"/>
            <w:vAlign w:val="center"/>
          </w:tcPr>
          <w:p w14:paraId="2C6BDC7E">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传真：</w:t>
            </w:r>
          </w:p>
        </w:tc>
        <w:tc>
          <w:tcPr>
            <w:tcW w:w="2245" w:type="dxa"/>
            <w:tcBorders>
              <w:top w:val="single" w:color="auto" w:sz="4" w:space="0"/>
              <w:left w:val="single" w:color="auto" w:sz="4" w:space="0"/>
              <w:right w:val="single" w:color="auto" w:sz="4" w:space="0"/>
            </w:tcBorders>
            <w:shd w:val="clear" w:color="auto" w:fill="FFFFFF"/>
            <w:noWrap w:val="0"/>
            <w:vAlign w:val="top"/>
          </w:tcPr>
          <w:p w14:paraId="77B5F6B9">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p>
        </w:tc>
      </w:tr>
      <w:tr w14:paraId="4F418A66">
        <w:tblPrEx>
          <w:tblCellMar>
            <w:top w:w="0" w:type="dxa"/>
            <w:left w:w="10" w:type="dxa"/>
            <w:bottom w:w="0" w:type="dxa"/>
            <w:right w:w="10" w:type="dxa"/>
          </w:tblCellMar>
        </w:tblPrEx>
        <w:trPr>
          <w:trHeight w:val="557" w:hRule="exact"/>
          <w:jc w:val="center"/>
        </w:trPr>
        <w:tc>
          <w:tcPr>
            <w:tcW w:w="2245" w:type="dxa"/>
            <w:tcBorders>
              <w:top w:val="single" w:color="auto" w:sz="4" w:space="0"/>
              <w:left w:val="single" w:color="auto" w:sz="4" w:space="0"/>
            </w:tcBorders>
            <w:shd w:val="clear" w:color="auto" w:fill="FFFFFF"/>
            <w:noWrap w:val="0"/>
            <w:vAlign w:val="center"/>
          </w:tcPr>
          <w:p w14:paraId="59273D0E">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开户银行：</w:t>
            </w:r>
          </w:p>
        </w:tc>
        <w:tc>
          <w:tcPr>
            <w:tcW w:w="2245" w:type="dxa"/>
            <w:tcBorders>
              <w:top w:val="single" w:color="auto" w:sz="4" w:space="0"/>
              <w:left w:val="single" w:color="auto" w:sz="4" w:space="0"/>
            </w:tcBorders>
            <w:shd w:val="clear" w:color="auto" w:fill="FFFFFF"/>
            <w:noWrap w:val="0"/>
            <w:vAlign w:val="top"/>
          </w:tcPr>
          <w:p w14:paraId="63E91C09">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p>
        </w:tc>
        <w:tc>
          <w:tcPr>
            <w:tcW w:w="2245" w:type="dxa"/>
            <w:tcBorders>
              <w:top w:val="single" w:color="auto" w:sz="4" w:space="0"/>
              <w:left w:val="single" w:color="auto" w:sz="4" w:space="0"/>
            </w:tcBorders>
            <w:shd w:val="clear" w:color="auto" w:fill="FFFFFF"/>
            <w:noWrap w:val="0"/>
            <w:vAlign w:val="center"/>
          </w:tcPr>
          <w:p w14:paraId="48252E10">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开户银行：</w:t>
            </w:r>
          </w:p>
        </w:tc>
        <w:tc>
          <w:tcPr>
            <w:tcW w:w="2245" w:type="dxa"/>
            <w:tcBorders>
              <w:top w:val="single" w:color="auto" w:sz="4" w:space="0"/>
              <w:left w:val="single" w:color="auto" w:sz="4" w:space="0"/>
              <w:right w:val="single" w:color="auto" w:sz="4" w:space="0"/>
            </w:tcBorders>
            <w:shd w:val="clear" w:color="auto" w:fill="FFFFFF"/>
            <w:noWrap w:val="0"/>
            <w:vAlign w:val="top"/>
          </w:tcPr>
          <w:p w14:paraId="3069EEDB">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p>
        </w:tc>
      </w:tr>
      <w:tr w14:paraId="652EFF91">
        <w:tblPrEx>
          <w:tblCellMar>
            <w:top w:w="0" w:type="dxa"/>
            <w:left w:w="10" w:type="dxa"/>
            <w:bottom w:w="0" w:type="dxa"/>
            <w:right w:w="10" w:type="dxa"/>
          </w:tblCellMar>
        </w:tblPrEx>
        <w:trPr>
          <w:trHeight w:val="557" w:hRule="exact"/>
          <w:jc w:val="center"/>
        </w:trPr>
        <w:tc>
          <w:tcPr>
            <w:tcW w:w="2245" w:type="dxa"/>
            <w:tcBorders>
              <w:top w:val="single" w:color="auto" w:sz="4" w:space="0"/>
              <w:left w:val="single" w:color="auto" w:sz="4" w:space="0"/>
            </w:tcBorders>
            <w:shd w:val="clear" w:color="auto" w:fill="FFFFFF"/>
            <w:noWrap w:val="0"/>
            <w:vAlign w:val="center"/>
          </w:tcPr>
          <w:p w14:paraId="0F78E463">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账号：</w:t>
            </w:r>
          </w:p>
        </w:tc>
        <w:tc>
          <w:tcPr>
            <w:tcW w:w="2245" w:type="dxa"/>
            <w:tcBorders>
              <w:top w:val="single" w:color="auto" w:sz="4" w:space="0"/>
              <w:left w:val="single" w:color="auto" w:sz="4" w:space="0"/>
            </w:tcBorders>
            <w:shd w:val="clear" w:color="auto" w:fill="FFFFFF"/>
            <w:noWrap w:val="0"/>
            <w:vAlign w:val="top"/>
          </w:tcPr>
          <w:p w14:paraId="547FAE4E">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p>
        </w:tc>
        <w:tc>
          <w:tcPr>
            <w:tcW w:w="2245" w:type="dxa"/>
            <w:tcBorders>
              <w:top w:val="single" w:color="auto" w:sz="4" w:space="0"/>
              <w:left w:val="single" w:color="auto" w:sz="4" w:space="0"/>
            </w:tcBorders>
            <w:shd w:val="clear" w:color="auto" w:fill="FFFFFF"/>
            <w:noWrap w:val="0"/>
            <w:vAlign w:val="center"/>
          </w:tcPr>
          <w:p w14:paraId="631B4FF6">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账号：</w:t>
            </w:r>
          </w:p>
        </w:tc>
        <w:tc>
          <w:tcPr>
            <w:tcW w:w="2245" w:type="dxa"/>
            <w:tcBorders>
              <w:top w:val="single" w:color="auto" w:sz="4" w:space="0"/>
              <w:left w:val="single" w:color="auto" w:sz="4" w:space="0"/>
              <w:right w:val="single" w:color="auto" w:sz="4" w:space="0"/>
            </w:tcBorders>
            <w:shd w:val="clear" w:color="auto" w:fill="FFFFFF"/>
            <w:noWrap w:val="0"/>
            <w:vAlign w:val="top"/>
          </w:tcPr>
          <w:p w14:paraId="3004731A">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p>
        </w:tc>
      </w:tr>
      <w:tr w14:paraId="47E7CB43">
        <w:tblPrEx>
          <w:tblCellMar>
            <w:top w:w="0" w:type="dxa"/>
            <w:left w:w="10" w:type="dxa"/>
            <w:bottom w:w="0" w:type="dxa"/>
            <w:right w:w="10" w:type="dxa"/>
          </w:tblCellMar>
        </w:tblPrEx>
        <w:trPr>
          <w:trHeight w:val="567" w:hRule="exact"/>
          <w:jc w:val="center"/>
        </w:trPr>
        <w:tc>
          <w:tcPr>
            <w:tcW w:w="2245" w:type="dxa"/>
            <w:tcBorders>
              <w:top w:val="single" w:color="auto" w:sz="4" w:space="0"/>
              <w:left w:val="single" w:color="auto" w:sz="4" w:space="0"/>
              <w:bottom w:val="single" w:color="auto" w:sz="4" w:space="0"/>
            </w:tcBorders>
            <w:shd w:val="clear" w:color="auto" w:fill="FFFFFF"/>
            <w:noWrap w:val="0"/>
            <w:vAlign w:val="center"/>
          </w:tcPr>
          <w:p w14:paraId="445DE9EB">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日期：</w:t>
            </w:r>
          </w:p>
        </w:tc>
        <w:tc>
          <w:tcPr>
            <w:tcW w:w="2245" w:type="dxa"/>
            <w:tcBorders>
              <w:top w:val="single" w:color="auto" w:sz="4" w:space="0"/>
              <w:left w:val="single" w:color="auto" w:sz="4" w:space="0"/>
              <w:bottom w:val="single" w:color="auto" w:sz="4" w:space="0"/>
            </w:tcBorders>
            <w:shd w:val="clear" w:color="auto" w:fill="FFFFFF"/>
            <w:noWrap w:val="0"/>
            <w:vAlign w:val="center"/>
          </w:tcPr>
          <w:p w14:paraId="7454ED43">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 年   月   日</w:t>
            </w:r>
          </w:p>
        </w:tc>
        <w:tc>
          <w:tcPr>
            <w:tcW w:w="2245" w:type="dxa"/>
            <w:tcBorders>
              <w:top w:val="single" w:color="auto" w:sz="4" w:space="0"/>
              <w:left w:val="single" w:color="auto" w:sz="4" w:space="0"/>
              <w:bottom w:val="single" w:color="auto" w:sz="4" w:space="0"/>
            </w:tcBorders>
            <w:shd w:val="clear" w:color="auto" w:fill="FFFFFF"/>
            <w:noWrap w:val="0"/>
            <w:vAlign w:val="center"/>
          </w:tcPr>
          <w:p w14:paraId="67729515">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日期：</w:t>
            </w:r>
          </w:p>
        </w:tc>
        <w:tc>
          <w:tcPr>
            <w:tcW w:w="224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C42ABBE">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 xml:space="preserve">  年   月   日</w:t>
            </w:r>
          </w:p>
        </w:tc>
      </w:tr>
    </w:tbl>
    <w:p w14:paraId="4DCF3A86">
      <w:pPr>
        <w:ind w:firstLine="0" w:firstLineChars="0"/>
        <w:rPr>
          <w:color w:val="000000"/>
          <w:highlight w:val="none"/>
          <w:lang w:eastAsia="zh-CN"/>
        </w:rPr>
      </w:pPr>
    </w:p>
    <w:p w14:paraId="334941EF">
      <w:pPr>
        <w:ind w:firstLine="560"/>
        <w:rPr>
          <w:color w:val="000000"/>
          <w:highlight w:val="none"/>
          <w:lang w:eastAsia="zh-CN"/>
        </w:rPr>
      </w:pPr>
    </w:p>
    <w:p w14:paraId="6E244BA5">
      <w:pPr>
        <w:ind w:firstLine="560"/>
        <w:rPr>
          <w:color w:val="000000"/>
          <w:highlight w:val="none"/>
          <w:lang w:eastAsia="zh-CN"/>
        </w:rPr>
      </w:pPr>
    </w:p>
    <w:p w14:paraId="6781687F">
      <w:pPr>
        <w:ind w:firstLine="560"/>
        <w:rPr>
          <w:color w:val="000000"/>
          <w:highlight w:val="none"/>
          <w:lang w:eastAsia="zh-CN"/>
        </w:rPr>
      </w:pPr>
    </w:p>
    <w:p w14:paraId="0A029159">
      <w:pPr>
        <w:ind w:firstLine="560"/>
        <w:rPr>
          <w:color w:val="000000"/>
          <w:highlight w:val="none"/>
          <w:lang w:eastAsia="zh-CN"/>
        </w:rPr>
      </w:pPr>
    </w:p>
    <w:p w14:paraId="4D5E2D09">
      <w:pPr>
        <w:ind w:firstLine="560"/>
        <w:rPr>
          <w:color w:val="000000"/>
          <w:highlight w:val="none"/>
          <w:lang w:eastAsia="zh-CN"/>
        </w:rPr>
      </w:pPr>
    </w:p>
    <w:p w14:paraId="2BDC1816">
      <w:pPr>
        <w:ind w:firstLine="560"/>
        <w:rPr>
          <w:color w:val="000000"/>
          <w:highlight w:val="none"/>
          <w:lang w:eastAsia="zh-CN"/>
        </w:rPr>
      </w:pPr>
    </w:p>
    <w:p w14:paraId="5B63FAA6">
      <w:pPr>
        <w:ind w:firstLine="560"/>
        <w:rPr>
          <w:color w:val="000000"/>
          <w:highlight w:val="none"/>
          <w:lang w:eastAsia="zh-CN"/>
        </w:rPr>
      </w:pPr>
    </w:p>
    <w:p w14:paraId="37DE847A">
      <w:pPr>
        <w:pStyle w:val="5"/>
        <w:rPr>
          <w:color w:val="000000"/>
          <w:highlight w:val="none"/>
          <w:lang w:eastAsia="zh-CN"/>
        </w:rPr>
      </w:pPr>
    </w:p>
    <w:p w14:paraId="07F201FE">
      <w:pPr>
        <w:rPr>
          <w:rFonts w:hint="eastAsia"/>
          <w:color w:val="000000"/>
          <w:highlight w:val="none"/>
          <w:lang w:eastAsia="zh-CN"/>
        </w:rPr>
      </w:pPr>
      <w:r>
        <w:rPr>
          <w:rFonts w:hint="eastAsia"/>
          <w:color w:val="000000"/>
          <w:highlight w:val="none"/>
          <w:lang w:eastAsia="zh-CN"/>
        </w:rPr>
        <w:br w:type="page"/>
      </w:r>
    </w:p>
    <w:p w14:paraId="5AE82217">
      <w:pPr>
        <w:ind w:firstLine="0" w:firstLineChars="0"/>
        <w:rPr>
          <w:rFonts w:hint="eastAsia" w:ascii="宋体" w:hAnsi="宋体" w:eastAsia="宋体" w:cs="宋体"/>
          <w:color w:val="000000"/>
          <w:sz w:val="24"/>
          <w:szCs w:val="24"/>
          <w:highlight w:val="none"/>
          <w:lang w:val="zh-TW" w:eastAsia="zh-CN"/>
        </w:rPr>
      </w:pPr>
      <w:r>
        <w:rPr>
          <w:rFonts w:hint="eastAsia" w:ascii="宋体" w:hAnsi="宋体" w:eastAsia="宋体" w:cs="宋体"/>
          <w:color w:val="000000"/>
          <w:sz w:val="24"/>
          <w:szCs w:val="24"/>
          <w:highlight w:val="none"/>
          <w:lang w:eastAsia="zh-CN"/>
        </w:rPr>
        <w:t>附件：运营管理</w:t>
      </w:r>
      <w:r>
        <w:rPr>
          <w:rFonts w:hint="eastAsia" w:ascii="宋体" w:hAnsi="宋体" w:eastAsia="宋体" w:cs="宋体"/>
          <w:color w:val="000000"/>
          <w:sz w:val="24"/>
          <w:szCs w:val="24"/>
          <w:highlight w:val="none"/>
          <w:lang w:val="zh-TW" w:eastAsia="zh-CN"/>
        </w:rPr>
        <w:t>考评表</w:t>
      </w:r>
    </w:p>
    <w:tbl>
      <w:tblPr>
        <w:tblStyle w:val="6"/>
        <w:tblW w:w="9127" w:type="dxa"/>
        <w:tblInd w:w="-34" w:type="dxa"/>
        <w:tblLayout w:type="fixed"/>
        <w:tblCellMar>
          <w:top w:w="0" w:type="dxa"/>
          <w:left w:w="108" w:type="dxa"/>
          <w:bottom w:w="0" w:type="dxa"/>
          <w:right w:w="108" w:type="dxa"/>
        </w:tblCellMar>
      </w:tblPr>
      <w:tblGrid>
        <w:gridCol w:w="746"/>
        <w:gridCol w:w="1033"/>
        <w:gridCol w:w="4952"/>
        <w:gridCol w:w="1217"/>
        <w:gridCol w:w="1179"/>
      </w:tblGrid>
      <w:tr w14:paraId="37B27D2C">
        <w:tblPrEx>
          <w:tblCellMar>
            <w:top w:w="0" w:type="dxa"/>
            <w:left w:w="108" w:type="dxa"/>
            <w:bottom w:w="0" w:type="dxa"/>
            <w:right w:w="108" w:type="dxa"/>
          </w:tblCellMar>
        </w:tblPrEx>
        <w:trPr>
          <w:trHeight w:val="368"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EFF75C1">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序号</w:t>
            </w:r>
          </w:p>
        </w:tc>
        <w:tc>
          <w:tcPr>
            <w:tcW w:w="103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CEBF22">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4050DD">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考评内容</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28F2105">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标准得分</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03FBA6A">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考评得分</w:t>
            </w:r>
          </w:p>
        </w:tc>
      </w:tr>
      <w:tr w14:paraId="25BAB2D6">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EAA1369">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BED2EF">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人员 </w:t>
            </w:r>
          </w:p>
          <w:p w14:paraId="2140C381">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考评</w:t>
            </w: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F1FEDA">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是否足额配备管理、操作人员</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E78BF86">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00CB47B1">
            <w:pPr>
              <w:pStyle w:val="8"/>
              <w:spacing w:line="360" w:lineRule="auto"/>
              <w:rPr>
                <w:rFonts w:hint="eastAsia" w:ascii="宋体" w:hAnsi="宋体" w:eastAsia="宋体" w:cs="宋体"/>
                <w:sz w:val="24"/>
                <w:szCs w:val="24"/>
                <w:highlight w:val="none"/>
                <w:lang w:val="en-US" w:eastAsia="zh-CN"/>
              </w:rPr>
            </w:pPr>
          </w:p>
        </w:tc>
      </w:tr>
      <w:tr w14:paraId="556CB7B4">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05F77DDA">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078D8C">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7E3A7317">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操作和维修人员是否上岗证并在有效期内</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71F0EB0A">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1E61D76E">
            <w:pPr>
              <w:pStyle w:val="8"/>
              <w:spacing w:line="360" w:lineRule="auto"/>
              <w:rPr>
                <w:rFonts w:hint="eastAsia" w:ascii="宋体" w:hAnsi="宋体" w:eastAsia="宋体" w:cs="宋体"/>
                <w:sz w:val="24"/>
                <w:szCs w:val="24"/>
                <w:highlight w:val="none"/>
                <w:lang w:val="en-US" w:eastAsia="zh-CN"/>
              </w:rPr>
            </w:pPr>
          </w:p>
        </w:tc>
      </w:tr>
      <w:tr w14:paraId="0F932092">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7B5836AF">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4CB3BA">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2BCB23EF">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是否定期培训并进行考核</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0BCABE7D">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3B911DF1">
            <w:pPr>
              <w:pStyle w:val="8"/>
              <w:spacing w:line="360" w:lineRule="auto"/>
              <w:rPr>
                <w:rFonts w:hint="eastAsia" w:ascii="宋体" w:hAnsi="宋体" w:eastAsia="宋体" w:cs="宋体"/>
                <w:sz w:val="24"/>
                <w:szCs w:val="24"/>
                <w:highlight w:val="none"/>
                <w:lang w:val="en-US" w:eastAsia="zh-CN"/>
              </w:rPr>
            </w:pPr>
          </w:p>
        </w:tc>
      </w:tr>
      <w:tr w14:paraId="3DF0D75C">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2FD6160B">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4</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C8B14FE">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3A82B3F7">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是否有考核机制</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54F86C19">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745967B1">
            <w:pPr>
              <w:pStyle w:val="8"/>
              <w:spacing w:line="360" w:lineRule="auto"/>
              <w:rPr>
                <w:rFonts w:hint="eastAsia" w:ascii="宋体" w:hAnsi="宋体" w:eastAsia="宋体" w:cs="宋体"/>
                <w:sz w:val="24"/>
                <w:szCs w:val="24"/>
                <w:highlight w:val="none"/>
                <w:lang w:val="en-US" w:eastAsia="zh-CN"/>
              </w:rPr>
            </w:pPr>
          </w:p>
        </w:tc>
      </w:tr>
      <w:tr w14:paraId="7FF65C8D">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39B69CF5">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7C3D12">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102C227D">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是否有离岗、脱岗、串岗等违规现象</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38B112F8">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7702C05A">
            <w:pPr>
              <w:pStyle w:val="8"/>
              <w:spacing w:line="360" w:lineRule="auto"/>
              <w:rPr>
                <w:rFonts w:hint="eastAsia" w:ascii="宋体" w:hAnsi="宋体" w:eastAsia="宋体" w:cs="宋体"/>
                <w:sz w:val="24"/>
                <w:szCs w:val="24"/>
                <w:highlight w:val="none"/>
                <w:lang w:val="en-US" w:eastAsia="zh-CN"/>
              </w:rPr>
            </w:pPr>
          </w:p>
        </w:tc>
      </w:tr>
      <w:tr w14:paraId="5010F1B1">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163D59E5">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w:t>
            </w: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950951">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制度 </w:t>
            </w:r>
          </w:p>
          <w:p w14:paraId="389E8500">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管理</w:t>
            </w: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11FB4995">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是否建立污水系统管理和运行操作规章制度</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628264C1">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24453069">
            <w:pPr>
              <w:pStyle w:val="8"/>
              <w:spacing w:line="360" w:lineRule="auto"/>
              <w:rPr>
                <w:rFonts w:hint="eastAsia" w:ascii="宋体" w:hAnsi="宋体" w:eastAsia="宋体" w:cs="宋体"/>
                <w:sz w:val="24"/>
                <w:szCs w:val="24"/>
                <w:highlight w:val="none"/>
                <w:lang w:val="en-US" w:eastAsia="zh-CN"/>
              </w:rPr>
            </w:pPr>
          </w:p>
        </w:tc>
      </w:tr>
      <w:tr w14:paraId="2349A881">
        <w:tblPrEx>
          <w:tblCellMar>
            <w:top w:w="0" w:type="dxa"/>
            <w:left w:w="108" w:type="dxa"/>
            <w:bottom w:w="0" w:type="dxa"/>
            <w:right w:w="108" w:type="dxa"/>
          </w:tblCellMar>
        </w:tblPrEx>
        <w:trPr>
          <w:trHeight w:val="54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587FF305">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0D3863A">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4ACC47B4">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是否建立机房管理、消防管理、动火管理等空间管理制度</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1AD30189">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755ACB6B">
            <w:pPr>
              <w:pStyle w:val="8"/>
              <w:spacing w:line="360" w:lineRule="auto"/>
              <w:rPr>
                <w:rFonts w:hint="eastAsia" w:ascii="宋体" w:hAnsi="宋体" w:eastAsia="宋体" w:cs="宋体"/>
                <w:sz w:val="24"/>
                <w:szCs w:val="24"/>
                <w:highlight w:val="none"/>
                <w:lang w:val="en-US" w:eastAsia="zh-CN"/>
              </w:rPr>
            </w:pPr>
          </w:p>
        </w:tc>
      </w:tr>
      <w:tr w14:paraId="60667830">
        <w:tblPrEx>
          <w:tblCellMar>
            <w:top w:w="0" w:type="dxa"/>
            <w:left w:w="108" w:type="dxa"/>
            <w:bottom w:w="0" w:type="dxa"/>
            <w:right w:w="108" w:type="dxa"/>
          </w:tblCellMar>
        </w:tblPrEx>
        <w:trPr>
          <w:trHeight w:val="10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1F0D44">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8</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7ADF8BE">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1B3E3B22">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是否建立设备档案管理、设备操作、高危作业、设备巡视检查、设备维修保养、仪表定期检查、工器具及防护用品、安全工具管理，储备零部件管理，水质检测管理等的设备管理 制度</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A276CD4">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6D28CA95">
            <w:pPr>
              <w:pStyle w:val="8"/>
              <w:spacing w:line="360" w:lineRule="auto"/>
              <w:rPr>
                <w:rFonts w:hint="eastAsia" w:ascii="宋体" w:hAnsi="宋体" w:eastAsia="宋体" w:cs="宋体"/>
                <w:sz w:val="24"/>
                <w:szCs w:val="24"/>
                <w:highlight w:val="none"/>
                <w:lang w:val="en-US" w:eastAsia="zh-CN"/>
              </w:rPr>
            </w:pPr>
          </w:p>
        </w:tc>
      </w:tr>
      <w:tr w14:paraId="4A9BD775">
        <w:tblPrEx>
          <w:tblCellMar>
            <w:top w:w="0" w:type="dxa"/>
            <w:left w:w="108" w:type="dxa"/>
            <w:bottom w:w="0" w:type="dxa"/>
            <w:right w:w="108" w:type="dxa"/>
          </w:tblCellMar>
        </w:tblPrEx>
        <w:trPr>
          <w:trHeight w:val="54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F6CE98">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7DE3EE4">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573C139F">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管理人员是否进行岗前培训，操作人员是否了解熟悉制度 是否对制度执行情况进行检查</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F630143">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57A5E986">
            <w:pPr>
              <w:pStyle w:val="8"/>
              <w:spacing w:line="360" w:lineRule="auto"/>
              <w:rPr>
                <w:rFonts w:hint="eastAsia" w:ascii="宋体" w:hAnsi="宋体" w:eastAsia="宋体" w:cs="宋体"/>
                <w:sz w:val="24"/>
                <w:szCs w:val="24"/>
                <w:highlight w:val="none"/>
                <w:lang w:val="en-US" w:eastAsia="zh-CN"/>
              </w:rPr>
            </w:pPr>
          </w:p>
        </w:tc>
      </w:tr>
      <w:tr w14:paraId="464DC43C">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0EE52DA2">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10</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B7DB14D">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1BDFDC9F">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是否建立危化品安全管理和使用制度</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4F3C4C3E">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430DFFC7">
            <w:pPr>
              <w:pStyle w:val="8"/>
              <w:spacing w:line="360" w:lineRule="auto"/>
              <w:rPr>
                <w:rFonts w:hint="eastAsia" w:ascii="宋体" w:hAnsi="宋体" w:eastAsia="宋体" w:cs="宋体"/>
                <w:sz w:val="24"/>
                <w:szCs w:val="24"/>
                <w:highlight w:val="none"/>
                <w:lang w:val="en-US" w:eastAsia="zh-CN"/>
              </w:rPr>
            </w:pPr>
          </w:p>
        </w:tc>
      </w:tr>
      <w:tr w14:paraId="02F3D963">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B692DA5">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11</w:t>
            </w:r>
          </w:p>
        </w:tc>
        <w:tc>
          <w:tcPr>
            <w:tcW w:w="1033" w:type="dxa"/>
            <w:vMerge w:val="restart"/>
            <w:tcBorders>
              <w:top w:val="single" w:color="000000" w:sz="4" w:space="0"/>
              <w:left w:val="single" w:color="000000" w:sz="4" w:space="0"/>
              <w:bottom w:val="single" w:color="000000" w:sz="4" w:space="0"/>
              <w:right w:val="nil"/>
            </w:tcBorders>
            <w:shd w:val="clear" w:color="auto" w:fill="FFFFFF"/>
            <w:noWrap w:val="0"/>
            <w:vAlign w:val="center"/>
          </w:tcPr>
          <w:p w14:paraId="2B23A947">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档案 </w:t>
            </w:r>
          </w:p>
          <w:p w14:paraId="024CD2A9">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管理</w:t>
            </w: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370451">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运行档案是否完善，水质检测报告、原始记录是否完整，日常自检是否进行，维护维修记录是否完善，巡检记录是否完善，电子档案是否完善</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675B586">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4F707B7A">
            <w:pPr>
              <w:pStyle w:val="8"/>
              <w:spacing w:line="360" w:lineRule="auto"/>
              <w:rPr>
                <w:rFonts w:hint="eastAsia" w:ascii="宋体" w:hAnsi="宋体" w:eastAsia="宋体" w:cs="宋体"/>
                <w:sz w:val="24"/>
                <w:szCs w:val="24"/>
                <w:highlight w:val="none"/>
                <w:lang w:val="en-US" w:eastAsia="zh-CN"/>
              </w:rPr>
            </w:pPr>
          </w:p>
        </w:tc>
      </w:tr>
      <w:tr w14:paraId="4E41BEAF">
        <w:tblPrEx>
          <w:tblCellMar>
            <w:top w:w="0" w:type="dxa"/>
            <w:left w:w="108" w:type="dxa"/>
            <w:bottom w:w="0" w:type="dxa"/>
            <w:right w:w="108" w:type="dxa"/>
          </w:tblCellMar>
        </w:tblPrEx>
        <w:trPr>
          <w:trHeight w:val="1625"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F6FAE0">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12</w:t>
            </w:r>
          </w:p>
        </w:tc>
        <w:tc>
          <w:tcPr>
            <w:tcW w:w="1033" w:type="dxa"/>
            <w:vMerge w:val="continue"/>
            <w:tcBorders>
              <w:top w:val="single" w:color="000000" w:sz="4" w:space="0"/>
              <w:left w:val="single" w:color="000000" w:sz="4" w:space="0"/>
              <w:bottom w:val="single" w:color="000000" w:sz="4" w:space="0"/>
              <w:right w:val="nil"/>
            </w:tcBorders>
            <w:shd w:val="clear" w:color="auto" w:fill="FFFFFF"/>
            <w:noWrap w:val="0"/>
            <w:vAlign w:val="center"/>
          </w:tcPr>
          <w:p w14:paraId="44974862">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7AA5B366">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技术性档案：是否包括设备明细表，设备的出厂合格证明及进场检（试）验出厂合格证明，更新改造和维修改造使用说明和校正记录报告，隐蔽工程检查验收记录，电器设系统安装及检测记录，管道试验记录，设备运行及调试记录，设备使用、维护手册</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04AD658">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7E90B210">
            <w:pPr>
              <w:pStyle w:val="8"/>
              <w:spacing w:line="360" w:lineRule="auto"/>
              <w:rPr>
                <w:rFonts w:hint="eastAsia" w:ascii="宋体" w:hAnsi="宋体" w:eastAsia="宋体" w:cs="宋体"/>
                <w:sz w:val="24"/>
                <w:szCs w:val="24"/>
                <w:highlight w:val="none"/>
                <w:lang w:val="en-US" w:eastAsia="zh-CN"/>
              </w:rPr>
            </w:pPr>
          </w:p>
        </w:tc>
      </w:tr>
      <w:tr w14:paraId="5301AF93">
        <w:tblPrEx>
          <w:tblCellMar>
            <w:top w:w="0" w:type="dxa"/>
            <w:left w:w="108" w:type="dxa"/>
            <w:bottom w:w="0" w:type="dxa"/>
            <w:right w:w="108" w:type="dxa"/>
          </w:tblCellMar>
        </w:tblPrEx>
        <w:trPr>
          <w:trHeight w:val="81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9A60325">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13</w:t>
            </w:r>
          </w:p>
        </w:tc>
        <w:tc>
          <w:tcPr>
            <w:tcW w:w="1033" w:type="dxa"/>
            <w:vMerge w:val="continue"/>
            <w:tcBorders>
              <w:top w:val="single" w:color="000000" w:sz="4" w:space="0"/>
              <w:left w:val="single" w:color="000000" w:sz="4" w:space="0"/>
              <w:bottom w:val="single" w:color="000000" w:sz="4" w:space="0"/>
              <w:right w:val="nil"/>
            </w:tcBorders>
            <w:shd w:val="clear" w:color="auto" w:fill="FFFFFF"/>
            <w:noWrap w:val="0"/>
            <w:vAlign w:val="center"/>
          </w:tcPr>
          <w:p w14:paraId="7155DDC8">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5C83B54A">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管理性档案是否包括人员台账，安全管理，应急预案演练记 录管理，设备维修及更换配件记录、耗材使用管理台账等内 容</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8BC6A29">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263A941F">
            <w:pPr>
              <w:pStyle w:val="8"/>
              <w:spacing w:line="360" w:lineRule="auto"/>
              <w:rPr>
                <w:rFonts w:hint="eastAsia" w:ascii="宋体" w:hAnsi="宋体" w:eastAsia="宋体" w:cs="宋体"/>
                <w:sz w:val="24"/>
                <w:szCs w:val="24"/>
                <w:highlight w:val="none"/>
                <w:lang w:val="en-US" w:eastAsia="zh-CN"/>
              </w:rPr>
            </w:pPr>
          </w:p>
        </w:tc>
      </w:tr>
      <w:tr w14:paraId="1B659B00">
        <w:tblPrEx>
          <w:tblCellMar>
            <w:top w:w="0" w:type="dxa"/>
            <w:left w:w="108" w:type="dxa"/>
            <w:bottom w:w="0" w:type="dxa"/>
            <w:right w:w="108" w:type="dxa"/>
          </w:tblCellMar>
        </w:tblPrEx>
        <w:trPr>
          <w:trHeight w:val="54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110443A">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14</w:t>
            </w:r>
          </w:p>
        </w:tc>
        <w:tc>
          <w:tcPr>
            <w:tcW w:w="1033" w:type="dxa"/>
            <w:vMerge w:val="continue"/>
            <w:tcBorders>
              <w:top w:val="single" w:color="000000" w:sz="4" w:space="0"/>
              <w:left w:val="single" w:color="000000" w:sz="4" w:space="0"/>
              <w:bottom w:val="single" w:color="000000" w:sz="4" w:space="0"/>
              <w:right w:val="nil"/>
            </w:tcBorders>
            <w:shd w:val="clear" w:color="auto" w:fill="FFFFFF"/>
            <w:noWrap w:val="0"/>
            <w:vAlign w:val="center"/>
          </w:tcPr>
          <w:p w14:paraId="43693739">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795AD813">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档案资料是否摆放整齐，便于査找、核对，并应分门别类建 立资料清册</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5338589">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77D78D15">
            <w:pPr>
              <w:pStyle w:val="8"/>
              <w:spacing w:line="360" w:lineRule="auto"/>
              <w:rPr>
                <w:rFonts w:hint="eastAsia" w:ascii="宋体" w:hAnsi="宋体" w:eastAsia="宋体" w:cs="宋体"/>
                <w:sz w:val="24"/>
                <w:szCs w:val="24"/>
                <w:highlight w:val="none"/>
                <w:lang w:val="en-US" w:eastAsia="zh-CN"/>
              </w:rPr>
            </w:pPr>
          </w:p>
        </w:tc>
      </w:tr>
      <w:tr w14:paraId="11AF5CB4">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7D8A5C4B">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15</w:t>
            </w:r>
          </w:p>
        </w:tc>
        <w:tc>
          <w:tcPr>
            <w:tcW w:w="1033" w:type="dxa"/>
            <w:vMerge w:val="continue"/>
            <w:tcBorders>
              <w:top w:val="single" w:color="000000" w:sz="4" w:space="0"/>
              <w:left w:val="single" w:color="000000" w:sz="4" w:space="0"/>
              <w:bottom w:val="single" w:color="000000" w:sz="4" w:space="0"/>
              <w:right w:val="nil"/>
            </w:tcBorders>
            <w:shd w:val="clear" w:color="auto" w:fill="FFFFFF"/>
            <w:noWrap w:val="0"/>
            <w:vAlign w:val="center"/>
          </w:tcPr>
          <w:p w14:paraId="1263047C">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4BCBF877">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资料是否填写详细、准确、清楚，填写人应签名</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05FE8F91">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66904F8F">
            <w:pPr>
              <w:pStyle w:val="8"/>
              <w:spacing w:line="360" w:lineRule="auto"/>
              <w:rPr>
                <w:rFonts w:hint="eastAsia" w:ascii="宋体" w:hAnsi="宋体" w:eastAsia="宋体" w:cs="宋体"/>
                <w:sz w:val="24"/>
                <w:szCs w:val="24"/>
                <w:highlight w:val="none"/>
                <w:lang w:val="en-US" w:eastAsia="zh-CN"/>
              </w:rPr>
            </w:pPr>
          </w:p>
        </w:tc>
      </w:tr>
      <w:tr w14:paraId="53FAC4EF">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0206EEAB">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16</w:t>
            </w: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2693AE6">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供应商管理</w:t>
            </w: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0E529F7D">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外委单位是否有医院污水处理资质</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6980A48F">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63E6F040">
            <w:pPr>
              <w:pStyle w:val="8"/>
              <w:spacing w:line="360" w:lineRule="auto"/>
              <w:rPr>
                <w:rFonts w:hint="eastAsia" w:ascii="宋体" w:hAnsi="宋体" w:eastAsia="宋体" w:cs="宋体"/>
                <w:sz w:val="24"/>
                <w:szCs w:val="24"/>
                <w:highlight w:val="none"/>
                <w:lang w:val="en-US" w:eastAsia="zh-CN"/>
              </w:rPr>
            </w:pPr>
          </w:p>
        </w:tc>
      </w:tr>
      <w:tr w14:paraId="443EBF03">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33C72318">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17</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B294172">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5445F9D7">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外委单位人员作业是否持证上岗</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3DDB261A">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67DA4C44">
            <w:pPr>
              <w:pStyle w:val="8"/>
              <w:spacing w:line="360" w:lineRule="auto"/>
              <w:rPr>
                <w:rFonts w:hint="eastAsia" w:ascii="宋体" w:hAnsi="宋体" w:eastAsia="宋体" w:cs="宋体"/>
                <w:sz w:val="24"/>
                <w:szCs w:val="24"/>
                <w:highlight w:val="none"/>
                <w:lang w:val="en-US" w:eastAsia="zh-CN"/>
              </w:rPr>
            </w:pPr>
          </w:p>
        </w:tc>
      </w:tr>
      <w:tr w14:paraId="175CB325">
        <w:tblPrEx>
          <w:tblCellMar>
            <w:top w:w="0" w:type="dxa"/>
            <w:left w:w="108" w:type="dxa"/>
            <w:bottom w:w="0" w:type="dxa"/>
            <w:right w:w="108" w:type="dxa"/>
          </w:tblCellMar>
        </w:tblPrEx>
        <w:trPr>
          <w:trHeight w:val="289"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666C0C5">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18</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49BBB0F">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45E2F0D9">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与配送单位是否签署合同、资质等是否齐全</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3F7590C">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690E0BA7">
            <w:pPr>
              <w:pStyle w:val="8"/>
              <w:spacing w:line="360" w:lineRule="auto"/>
              <w:rPr>
                <w:rFonts w:hint="eastAsia" w:ascii="宋体" w:hAnsi="宋体" w:eastAsia="宋体" w:cs="宋体"/>
                <w:sz w:val="24"/>
                <w:szCs w:val="24"/>
                <w:highlight w:val="none"/>
                <w:lang w:val="en-US" w:eastAsia="zh-CN"/>
              </w:rPr>
            </w:pPr>
          </w:p>
        </w:tc>
      </w:tr>
      <w:tr w14:paraId="737F13FA">
        <w:tblPrEx>
          <w:tblCellMar>
            <w:top w:w="0" w:type="dxa"/>
            <w:left w:w="108" w:type="dxa"/>
            <w:bottom w:w="0" w:type="dxa"/>
            <w:right w:w="108" w:type="dxa"/>
          </w:tblCellMar>
        </w:tblPrEx>
        <w:trPr>
          <w:trHeight w:val="135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FB42DFD">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19</w:t>
            </w: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149E82E">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设备</w:t>
            </w:r>
            <w:r>
              <w:rPr>
                <w:rFonts w:hint="eastAsia" w:ascii="宋体" w:hAnsi="宋体" w:eastAsia="宋体" w:cs="宋体"/>
                <w:sz w:val="24"/>
                <w:szCs w:val="24"/>
                <w:highlight w:val="none"/>
                <w:lang w:val="en-US" w:eastAsia="zh-CN"/>
              </w:rPr>
              <w:br w:type="textWrapping"/>
            </w:r>
            <w:r>
              <w:rPr>
                <w:rFonts w:hint="eastAsia" w:ascii="宋体" w:hAnsi="宋体" w:eastAsia="宋体" w:cs="宋体"/>
                <w:sz w:val="24"/>
                <w:szCs w:val="24"/>
                <w:highlight w:val="none"/>
                <w:lang w:val="en-US" w:eastAsia="zh-CN"/>
              </w:rPr>
              <w:t>应急预案</w:t>
            </w: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593C35EA">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应急预案包括应急组织及其构成，指挥协调部门，应急物资 的准备和存放地点，应急现场的负责人、组成人员及各自的 职责，通信联络、应急处理流程，安全防护和人员的组织、高度和保障措施等内容</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B1777D4">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60340139">
            <w:pPr>
              <w:pStyle w:val="8"/>
              <w:spacing w:line="360" w:lineRule="auto"/>
              <w:rPr>
                <w:rFonts w:hint="eastAsia" w:ascii="宋体" w:hAnsi="宋体" w:eastAsia="宋体" w:cs="宋体"/>
                <w:sz w:val="24"/>
                <w:szCs w:val="24"/>
                <w:highlight w:val="none"/>
                <w:lang w:val="en-US" w:eastAsia="zh-CN"/>
              </w:rPr>
            </w:pPr>
          </w:p>
        </w:tc>
      </w:tr>
      <w:tr w14:paraId="58C4CE17">
        <w:tblPrEx>
          <w:tblCellMar>
            <w:top w:w="0" w:type="dxa"/>
            <w:left w:w="108" w:type="dxa"/>
            <w:bottom w:w="0" w:type="dxa"/>
            <w:right w:w="108" w:type="dxa"/>
          </w:tblCellMar>
        </w:tblPrEx>
        <w:trPr>
          <w:trHeight w:val="416"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DCF5B55">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20</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A489A3A">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4FF2181C">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应急处理流程包括事件的报告程序和预案启动程序，采取的 行动，与其他人员或部门联系的办法和程序，应急事件的详 细记录等内容</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10BCB2">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35197430">
            <w:pPr>
              <w:pStyle w:val="8"/>
              <w:spacing w:line="360" w:lineRule="auto"/>
              <w:rPr>
                <w:rFonts w:hint="eastAsia" w:ascii="宋体" w:hAnsi="宋体" w:eastAsia="宋体" w:cs="宋体"/>
                <w:sz w:val="24"/>
                <w:szCs w:val="24"/>
                <w:highlight w:val="none"/>
                <w:lang w:val="en-US" w:eastAsia="zh-CN"/>
              </w:rPr>
            </w:pPr>
          </w:p>
        </w:tc>
      </w:tr>
      <w:tr w14:paraId="7FBC4842">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7773F429">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21</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9D11E61">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03275090">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每年至少演练1次</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7A116320">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14FF7D39">
            <w:pPr>
              <w:pStyle w:val="8"/>
              <w:spacing w:line="360" w:lineRule="auto"/>
              <w:rPr>
                <w:rFonts w:hint="eastAsia" w:ascii="宋体" w:hAnsi="宋体" w:eastAsia="宋体" w:cs="宋体"/>
                <w:sz w:val="24"/>
                <w:szCs w:val="24"/>
                <w:highlight w:val="none"/>
                <w:lang w:val="en-US" w:eastAsia="zh-CN"/>
              </w:rPr>
            </w:pPr>
          </w:p>
        </w:tc>
      </w:tr>
      <w:tr w14:paraId="1B6DE6BA">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45A11E28">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22</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2250669">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00952EBF">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详细记录演练过程</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6956955E">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325BB243">
            <w:pPr>
              <w:pStyle w:val="8"/>
              <w:spacing w:line="360" w:lineRule="auto"/>
              <w:rPr>
                <w:rFonts w:hint="eastAsia" w:ascii="宋体" w:hAnsi="宋体" w:eastAsia="宋体" w:cs="宋体"/>
                <w:sz w:val="24"/>
                <w:szCs w:val="24"/>
                <w:highlight w:val="none"/>
                <w:lang w:val="en-US" w:eastAsia="zh-CN"/>
              </w:rPr>
            </w:pPr>
          </w:p>
        </w:tc>
      </w:tr>
      <w:tr w14:paraId="0EC1928F">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5985EEC2">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23</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A04351">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603FBB7D">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问题改进并再次进行应急演练</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7A7E47E5">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392A924C">
            <w:pPr>
              <w:pStyle w:val="8"/>
              <w:spacing w:line="360" w:lineRule="auto"/>
              <w:rPr>
                <w:rFonts w:hint="eastAsia" w:ascii="宋体" w:hAnsi="宋体" w:eastAsia="宋体" w:cs="宋体"/>
                <w:sz w:val="24"/>
                <w:szCs w:val="24"/>
                <w:highlight w:val="none"/>
                <w:lang w:val="en-US" w:eastAsia="zh-CN"/>
              </w:rPr>
            </w:pPr>
          </w:p>
        </w:tc>
      </w:tr>
      <w:tr w14:paraId="02C06C48">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443877D2">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24</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8E1A4C2">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0A737627">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应急事件紧急处置后对相关指标是否再次检测</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3DC87EBA">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6DCB9A62">
            <w:pPr>
              <w:pStyle w:val="8"/>
              <w:spacing w:line="360" w:lineRule="auto"/>
              <w:rPr>
                <w:rFonts w:hint="eastAsia" w:ascii="宋体" w:hAnsi="宋体" w:eastAsia="宋体" w:cs="宋体"/>
                <w:sz w:val="24"/>
                <w:szCs w:val="24"/>
                <w:highlight w:val="none"/>
                <w:lang w:val="en-US" w:eastAsia="zh-CN"/>
              </w:rPr>
            </w:pPr>
          </w:p>
        </w:tc>
      </w:tr>
      <w:tr w14:paraId="76A9B367">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68579271">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25</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052BE2EF">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3BF4A1A4">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再次检测结果是否合格</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4FB9DE0B">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16904B6F">
            <w:pPr>
              <w:pStyle w:val="8"/>
              <w:spacing w:line="360" w:lineRule="auto"/>
              <w:rPr>
                <w:rFonts w:hint="eastAsia" w:ascii="宋体" w:hAnsi="宋体" w:eastAsia="宋体" w:cs="宋体"/>
                <w:sz w:val="24"/>
                <w:szCs w:val="24"/>
                <w:highlight w:val="none"/>
                <w:lang w:val="en-US" w:eastAsia="zh-CN"/>
              </w:rPr>
            </w:pPr>
          </w:p>
        </w:tc>
      </w:tr>
      <w:tr w14:paraId="3DC6D163">
        <w:tblPrEx>
          <w:tblCellMar>
            <w:top w:w="0" w:type="dxa"/>
            <w:left w:w="108" w:type="dxa"/>
            <w:bottom w:w="0" w:type="dxa"/>
            <w:right w:w="108" w:type="dxa"/>
          </w:tblCellMar>
        </w:tblPrEx>
        <w:trPr>
          <w:trHeight w:val="54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30E88B0C">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26</w:t>
            </w: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21F2525D">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设备运行要求</w:t>
            </w: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3610814E">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保证污水处理站的设备机房内无易燃和有毒危险物品</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1ADB9DB2">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72AE45AA">
            <w:pPr>
              <w:pStyle w:val="8"/>
              <w:spacing w:line="360" w:lineRule="auto"/>
              <w:rPr>
                <w:rFonts w:hint="eastAsia" w:ascii="宋体" w:hAnsi="宋体" w:eastAsia="宋体" w:cs="宋体"/>
                <w:sz w:val="24"/>
                <w:szCs w:val="24"/>
                <w:highlight w:val="none"/>
                <w:lang w:val="en-US" w:eastAsia="zh-CN"/>
              </w:rPr>
            </w:pPr>
          </w:p>
        </w:tc>
      </w:tr>
      <w:tr w14:paraId="6B5C9CB4">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7C372C4B">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27</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7E0F1E3">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44CAC153">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制度、操作流程及安全警示标示是否齐全</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22D17273">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20543CD3">
            <w:pPr>
              <w:pStyle w:val="8"/>
              <w:spacing w:line="360" w:lineRule="auto"/>
              <w:rPr>
                <w:rFonts w:hint="eastAsia" w:ascii="宋体" w:hAnsi="宋体" w:eastAsia="宋体" w:cs="宋体"/>
                <w:sz w:val="24"/>
                <w:szCs w:val="24"/>
                <w:highlight w:val="none"/>
                <w:lang w:val="en-US" w:eastAsia="zh-CN"/>
              </w:rPr>
            </w:pPr>
          </w:p>
        </w:tc>
      </w:tr>
      <w:tr w14:paraId="66F7DC2D">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5DF2CCCB">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28</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664B401">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4E5AAA68">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操作期间安全防护装置是否正规着装</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4C8257F9">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104926A3">
            <w:pPr>
              <w:pStyle w:val="8"/>
              <w:spacing w:line="360" w:lineRule="auto"/>
              <w:rPr>
                <w:rFonts w:hint="eastAsia" w:ascii="宋体" w:hAnsi="宋体" w:eastAsia="宋体" w:cs="宋体"/>
                <w:sz w:val="24"/>
                <w:szCs w:val="24"/>
                <w:highlight w:val="none"/>
                <w:lang w:val="en-US" w:eastAsia="zh-CN"/>
              </w:rPr>
            </w:pPr>
          </w:p>
        </w:tc>
      </w:tr>
      <w:tr w14:paraId="0535CDD7">
        <w:tblPrEx>
          <w:tblCellMar>
            <w:top w:w="0" w:type="dxa"/>
            <w:left w:w="108" w:type="dxa"/>
            <w:bottom w:w="0" w:type="dxa"/>
            <w:right w:w="108" w:type="dxa"/>
          </w:tblCellMar>
        </w:tblPrEx>
        <w:trPr>
          <w:trHeight w:val="396"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6C98AFE4">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29</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39F365F">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72AA916C">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安全巡视是否建立台账，电气控制操作系统安全可靠</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66854845">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2536B0BA">
            <w:pPr>
              <w:pStyle w:val="8"/>
              <w:spacing w:line="360" w:lineRule="auto"/>
              <w:rPr>
                <w:rFonts w:hint="eastAsia" w:ascii="宋体" w:hAnsi="宋体" w:eastAsia="宋体" w:cs="宋体"/>
                <w:sz w:val="24"/>
                <w:szCs w:val="24"/>
                <w:highlight w:val="none"/>
                <w:lang w:val="en-US" w:eastAsia="zh-CN"/>
              </w:rPr>
            </w:pPr>
          </w:p>
        </w:tc>
      </w:tr>
      <w:tr w14:paraId="2B29F988">
        <w:tblPrEx>
          <w:tblCellMar>
            <w:top w:w="0" w:type="dxa"/>
            <w:left w:w="108" w:type="dxa"/>
            <w:bottom w:w="0" w:type="dxa"/>
            <w:right w:w="108" w:type="dxa"/>
          </w:tblCellMar>
        </w:tblPrEx>
        <w:trPr>
          <w:trHeight w:val="81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827FD3D">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30</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D9AB5E1">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66025836">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按照生产厂家技术说明书制定落实污水系统设施设备维护保养计划。 设施设备是否正常运行，包括维护保养的流程、周期、责任人、记录要求等是否完善</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5028494">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208B5B0A">
            <w:pPr>
              <w:pStyle w:val="8"/>
              <w:spacing w:line="360" w:lineRule="auto"/>
              <w:rPr>
                <w:rFonts w:hint="eastAsia" w:ascii="宋体" w:hAnsi="宋体" w:eastAsia="宋体" w:cs="宋体"/>
                <w:sz w:val="24"/>
                <w:szCs w:val="24"/>
                <w:highlight w:val="none"/>
                <w:lang w:val="en-US" w:eastAsia="zh-CN"/>
              </w:rPr>
            </w:pPr>
          </w:p>
        </w:tc>
      </w:tr>
      <w:tr w14:paraId="52F1EDA1">
        <w:tblPrEx>
          <w:tblCellMar>
            <w:top w:w="0" w:type="dxa"/>
            <w:left w:w="108" w:type="dxa"/>
            <w:bottom w:w="0" w:type="dxa"/>
            <w:right w:w="108" w:type="dxa"/>
          </w:tblCellMar>
        </w:tblPrEx>
        <w:trPr>
          <w:trHeight w:val="445"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6AFE8518">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32</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7B340877">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0261FF35">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危化品是否建立管理台账，是否双人收发、双人保管</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5C3941C0">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55DD2FC4">
            <w:pPr>
              <w:pStyle w:val="8"/>
              <w:spacing w:line="360" w:lineRule="auto"/>
              <w:rPr>
                <w:rFonts w:hint="eastAsia" w:ascii="宋体" w:hAnsi="宋体" w:eastAsia="宋体" w:cs="宋体"/>
                <w:sz w:val="24"/>
                <w:szCs w:val="24"/>
                <w:highlight w:val="none"/>
                <w:lang w:val="en-US" w:eastAsia="zh-CN"/>
              </w:rPr>
            </w:pPr>
          </w:p>
        </w:tc>
      </w:tr>
      <w:tr w14:paraId="6F5A283F">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12FDDCE0">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33</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5C87556">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1D3F6F0">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是否每天2次余氯、PH值检测等常规监测及记录</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bottom"/>
          </w:tcPr>
          <w:p w14:paraId="3542C146">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0C59A0B2">
            <w:pPr>
              <w:pStyle w:val="8"/>
              <w:spacing w:line="360" w:lineRule="auto"/>
              <w:rPr>
                <w:rFonts w:hint="eastAsia" w:ascii="宋体" w:hAnsi="宋体" w:eastAsia="宋体" w:cs="宋体"/>
                <w:sz w:val="24"/>
                <w:szCs w:val="24"/>
                <w:highlight w:val="none"/>
                <w:lang w:val="en-US" w:eastAsia="zh-CN"/>
              </w:rPr>
            </w:pPr>
          </w:p>
        </w:tc>
      </w:tr>
      <w:tr w14:paraId="302C418B">
        <w:tblPrEx>
          <w:tblCellMar>
            <w:top w:w="0" w:type="dxa"/>
            <w:left w:w="108" w:type="dxa"/>
            <w:bottom w:w="0" w:type="dxa"/>
            <w:right w:w="108" w:type="dxa"/>
          </w:tblCellMar>
        </w:tblPrEx>
        <w:trPr>
          <w:trHeight w:val="54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92E06CF">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34</w:t>
            </w: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1524CA28">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污水系统检测要求</w:t>
            </w: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35B94AC0">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按照国家环保文件的要求，是否对污水水样定期抽检，并按时将相关检测内容进行网络填报</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4D300955">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6A45DB85">
            <w:pPr>
              <w:pStyle w:val="8"/>
              <w:spacing w:line="360" w:lineRule="auto"/>
              <w:rPr>
                <w:rFonts w:hint="eastAsia" w:ascii="宋体" w:hAnsi="宋体" w:eastAsia="宋体" w:cs="宋体"/>
                <w:sz w:val="24"/>
                <w:szCs w:val="24"/>
                <w:highlight w:val="none"/>
                <w:lang w:val="en-US" w:eastAsia="zh-CN"/>
              </w:rPr>
            </w:pPr>
          </w:p>
        </w:tc>
      </w:tr>
      <w:tr w14:paraId="68E693E2">
        <w:tblPrEx>
          <w:tblCellMar>
            <w:top w:w="0" w:type="dxa"/>
            <w:left w:w="108" w:type="dxa"/>
            <w:bottom w:w="0" w:type="dxa"/>
            <w:right w:w="108" w:type="dxa"/>
          </w:tblCellMar>
        </w:tblPrEx>
        <w:trPr>
          <w:trHeight w:val="81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69DC70B5">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35</w:t>
            </w: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C5B1A9A">
            <w:pPr>
              <w:pStyle w:val="8"/>
              <w:spacing w:line="360" w:lineRule="auto"/>
              <w:rPr>
                <w:rFonts w:hint="eastAsia" w:ascii="宋体" w:hAnsi="宋体" w:eastAsia="宋体" w:cs="宋体"/>
                <w:sz w:val="24"/>
                <w:szCs w:val="24"/>
                <w:highlight w:val="none"/>
                <w:lang w:val="en-US" w:eastAsia="zh-CN"/>
              </w:rPr>
            </w:pP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333B0412">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污水是否按国家标准规定，定期每周、月、季度进行一次第 三方检测，检测结果是否合格，将检测结果是否网上上报及 归档</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5094B67A">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5</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57C48285">
            <w:pPr>
              <w:pStyle w:val="8"/>
              <w:spacing w:line="360" w:lineRule="auto"/>
              <w:rPr>
                <w:rFonts w:hint="eastAsia" w:ascii="宋体" w:hAnsi="宋体" w:eastAsia="宋体" w:cs="宋体"/>
                <w:sz w:val="24"/>
                <w:szCs w:val="24"/>
                <w:highlight w:val="none"/>
                <w:lang w:val="en-US" w:eastAsia="zh-CN"/>
              </w:rPr>
            </w:pPr>
          </w:p>
        </w:tc>
      </w:tr>
      <w:tr w14:paraId="68E89C62">
        <w:tblPrEx>
          <w:tblCellMar>
            <w:top w:w="0" w:type="dxa"/>
            <w:left w:w="108" w:type="dxa"/>
            <w:bottom w:w="0" w:type="dxa"/>
            <w:right w:w="108" w:type="dxa"/>
          </w:tblCellMar>
        </w:tblPrEx>
        <w:trPr>
          <w:trHeight w:val="280" w:hRule="atLeast"/>
        </w:trPr>
        <w:tc>
          <w:tcPr>
            <w:tcW w:w="746"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6873C33D">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36</w:t>
            </w:r>
          </w:p>
        </w:tc>
        <w:tc>
          <w:tcPr>
            <w:tcW w:w="103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14:paraId="339C1032">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监管部门监督检查</w:t>
            </w:r>
          </w:p>
        </w:tc>
        <w:tc>
          <w:tcPr>
            <w:tcW w:w="4952"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25E61231">
            <w:pPr>
              <w:pStyle w:val="8"/>
              <w:spacing w:line="360" w:lineRule="auto"/>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是否按照监管部门要求对污水处理站进行规范管理</w:t>
            </w:r>
          </w:p>
        </w:tc>
        <w:tc>
          <w:tcPr>
            <w:tcW w:w="1217" w:type="dxa"/>
            <w:tcBorders>
              <w:top w:val="single" w:color="000000" w:sz="4" w:space="0"/>
              <w:left w:val="single" w:color="000000" w:sz="4" w:space="0"/>
              <w:bottom w:val="single" w:color="000000" w:sz="4" w:space="0"/>
              <w:right w:val="single" w:color="000000" w:sz="4" w:space="0"/>
            </w:tcBorders>
            <w:shd w:val="clear" w:color="auto" w:fill="FFFFFF"/>
            <w:noWrap w:val="0"/>
            <w:vAlign w:val="top"/>
          </w:tcPr>
          <w:p w14:paraId="0702DCC6">
            <w:pPr>
              <w:pStyle w:val="8"/>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15</w:t>
            </w:r>
          </w:p>
        </w:tc>
        <w:tc>
          <w:tcPr>
            <w:tcW w:w="11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28BFA1">
            <w:pPr>
              <w:pStyle w:val="8"/>
              <w:spacing w:line="360" w:lineRule="auto"/>
              <w:rPr>
                <w:rFonts w:hint="eastAsia" w:ascii="宋体" w:hAnsi="宋体" w:eastAsia="宋体" w:cs="宋体"/>
                <w:sz w:val="24"/>
                <w:szCs w:val="24"/>
                <w:highlight w:val="none"/>
                <w:lang w:val="en-US" w:eastAsia="zh-CN"/>
              </w:rPr>
            </w:pPr>
          </w:p>
        </w:tc>
      </w:tr>
    </w:tbl>
    <w:p w14:paraId="45127D97">
      <w:pPr>
        <w:pStyle w:val="5"/>
        <w:ind w:firstLine="0" w:firstLineChars="0"/>
        <w:jc w:val="left"/>
        <w:rPr>
          <w:color w:val="000000"/>
          <w:highlight w:val="none"/>
          <w:lang w:eastAsia="zh-CN"/>
        </w:rPr>
      </w:pPr>
    </w:p>
    <w:p w14:paraId="16E59068">
      <w:pPr>
        <w:pStyle w:val="9"/>
        <w:adjustRightInd w:val="0"/>
        <w:snapToGrid w:val="0"/>
        <w:spacing w:line="360" w:lineRule="auto"/>
        <w:ind w:firstLine="480" w:firstLineChars="200"/>
        <w:rPr>
          <w:rFonts w:hint="eastAsia" w:ascii="宋体" w:hAnsi="宋体" w:eastAsia="宋体" w:cs="宋体"/>
          <w:sz w:val="24"/>
          <w:szCs w:val="24"/>
          <w:highlight w:val="none"/>
        </w:rPr>
      </w:pPr>
    </w:p>
    <w:p w14:paraId="02EC2C96"/>
    <w:sectPr>
      <w:footerReference r:id="rId3" w:type="default"/>
      <w:pgSz w:w="11906" w:h="16838"/>
      <w:pgMar w:top="1417" w:right="1417" w:bottom="1417"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A812A4">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03D67D3">
                          <w:pPr>
                            <w:pStyle w:val="4"/>
                          </w:pPr>
                          <w:r>
                            <w:t xml:space="preserve">第 </w:t>
                          </w:r>
                          <w:r>
                            <w:fldChar w:fldCharType="begin"/>
                          </w:r>
                          <w:r>
                            <w:instrText xml:space="preserve"> PAGE  \* MERGEFORMAT </w:instrText>
                          </w:r>
                          <w:r>
                            <w:fldChar w:fldCharType="separate"/>
                          </w:r>
                          <w:r>
                            <w:t>68</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path/>
              <v:fill on="f" focussize="0,0"/>
              <v:stroke on="f"/>
              <v:imagedata o:title=""/>
              <o:lock v:ext="edit" aspectratio="f"/>
              <v:textbox inset="0mm,0mm,0mm,0mm" style="mso-fit-shape-to-text:t;">
                <w:txbxContent>
                  <w:p w14:paraId="703D67D3">
                    <w:pPr>
                      <w:pStyle w:val="4"/>
                    </w:pPr>
                    <w:r>
                      <w:t xml:space="preserve">第 </w:t>
                    </w:r>
                    <w:r>
                      <w:fldChar w:fldCharType="begin"/>
                    </w:r>
                    <w:r>
                      <w:instrText xml:space="preserve"> PAGE  \* MERGEFORMAT </w:instrText>
                    </w:r>
                    <w:r>
                      <w:fldChar w:fldCharType="separate"/>
                    </w:r>
                    <w:r>
                      <w:t>68</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BB7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keepNext/>
      <w:keepLines/>
      <w:spacing w:before="120" w:after="120" w:line="360" w:lineRule="auto"/>
      <w:jc w:val="center"/>
      <w:outlineLvl w:val="0"/>
    </w:pPr>
    <w:rPr>
      <w:b/>
      <w:bCs/>
      <w:kern w:val="44"/>
      <w:sz w:val="30"/>
      <w:szCs w:val="44"/>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Indent"/>
    <w:basedOn w:val="1"/>
    <w:qFormat/>
    <w:uiPriority w:val="0"/>
    <w:pPr>
      <w:ind w:firstLine="552"/>
    </w:pPr>
    <w:rPr>
      <w:rFonts w:ascii="宋体"/>
      <w:sz w:val="28"/>
    </w:rPr>
  </w:style>
  <w:style w:type="paragraph" w:styleId="4">
    <w:name w:val="footer"/>
    <w:basedOn w:val="1"/>
    <w:qFormat/>
    <w:uiPriority w:val="0"/>
    <w:pPr>
      <w:tabs>
        <w:tab w:val="center" w:pos="4153"/>
        <w:tab w:val="right" w:pos="8306"/>
      </w:tabs>
      <w:snapToGrid w:val="0"/>
      <w:jc w:val="left"/>
    </w:pPr>
    <w:rPr>
      <w:sz w:val="18"/>
    </w:rPr>
  </w:style>
  <w:style w:type="paragraph" w:styleId="5">
    <w:name w:val="Body Text First Indent 2"/>
    <w:basedOn w:val="3"/>
    <w:unhideWhenUsed/>
    <w:qFormat/>
    <w:uiPriority w:val="99"/>
    <w:pPr>
      <w:ind w:firstLine="420" w:firstLineChars="200"/>
    </w:pPr>
  </w:style>
  <w:style w:type="paragraph" w:customStyle="1" w:styleId="8">
    <w:name w:val="Body text|1"/>
    <w:basedOn w:val="1"/>
    <w:qFormat/>
    <w:uiPriority w:val="0"/>
    <w:pPr>
      <w:spacing w:line="240" w:lineRule="auto"/>
      <w:ind w:firstLine="0" w:firstLineChars="0"/>
      <w:jc w:val="center"/>
    </w:pPr>
    <w:rPr>
      <w:rFonts w:ascii="宋体" w:hAnsi="宋体" w:cs="宋体"/>
      <w:sz w:val="21"/>
      <w:szCs w:val="26"/>
      <w:lang w:val="zh-TW" w:eastAsia="zh-TW" w:bidi="zh-TW"/>
    </w:rPr>
  </w:style>
  <w:style w:type="paragraph" w:customStyle="1" w:styleId="9">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2025-12-10T09:19:05Z</dcterms:created>
  <dc:creator>Administrator</dc:creator>
  <cp:lastModifiedBy>开瑞</cp:lastModifiedBy>
  <dcterms:modified xsi:type="dcterms:W3CDTF">2025-12-10T09:19:21Z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671F0E5FA74A456EA69B4D6F79136CD9_12</vt:lpwstr>
  </property>
</Properties>
</file>