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版本号：RH采字【20251207】号20251211001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网络安全攻防实战能力提升服务项目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RH采字【20251207】号</w:t>
      </w:r>
      <w:r>
        <w:br/>
      </w:r>
      <w:r>
        <w:br/>
      </w:r>
      <w:r>
        <w:br/>
      </w:r>
    </w:p>
    <w:p>
      <w:pPr>
        <w:pStyle w:val="null3"/>
        <w:jc w:val="center"/>
        <w:outlineLvl w:val="2"/>
      </w:pPr>
      <w:r>
        <w:rPr>
          <w:rFonts w:ascii="仿宋_GB2312" w:hAnsi="仿宋_GB2312" w:cs="仿宋_GB2312" w:eastAsia="仿宋_GB2312"/>
          <w:sz w:val="28"/>
          <w:b/>
        </w:rPr>
        <w:t>西北大学</w:t>
      </w:r>
    </w:p>
    <w:p>
      <w:pPr>
        <w:pStyle w:val="null3"/>
        <w:jc w:val="center"/>
        <w:outlineLvl w:val="2"/>
      </w:pPr>
      <w:r>
        <w:rPr>
          <w:rFonts w:ascii="仿宋_GB2312" w:hAnsi="仿宋_GB2312" w:cs="仿宋_GB2312" w:eastAsia="仿宋_GB2312"/>
          <w:sz w:val="28"/>
          <w:b/>
        </w:rPr>
        <w:t>瑞恒项目管理有限公司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2025年12月11日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瑞恒项目管理有限公司</w:t>
      </w:r>
      <w:r>
        <w:rPr>
          <w:rFonts w:ascii="仿宋_GB2312" w:hAnsi="仿宋_GB2312" w:cs="仿宋_GB2312" w:eastAsia="仿宋_GB2312"/>
        </w:rPr>
        <w:t>（以下简称“代理机构”）受</w:t>
      </w:r>
      <w:r>
        <w:rPr>
          <w:rFonts w:ascii="仿宋_GB2312" w:hAnsi="仿宋_GB2312" w:cs="仿宋_GB2312" w:eastAsia="仿宋_GB2312"/>
        </w:rPr>
        <w:t>西北大学</w:t>
      </w:r>
      <w:r>
        <w:rPr>
          <w:rFonts w:ascii="仿宋_GB2312" w:hAnsi="仿宋_GB2312" w:cs="仿宋_GB2312" w:eastAsia="仿宋_GB2312"/>
        </w:rPr>
        <w:t>委托，拟对</w:t>
      </w:r>
      <w:r>
        <w:rPr>
          <w:rFonts w:ascii="仿宋_GB2312" w:hAnsi="仿宋_GB2312" w:cs="仿宋_GB2312" w:eastAsia="仿宋_GB2312"/>
        </w:rPr>
        <w:t>网络安全攻防实战能力提升服务项目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RH采字【20251207】号</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网络安全攻防实战能力提升服务项目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西北大学网络安全攻防实战能力提升服务项目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采购包1（网络安全攻防实战能力提升服务项目）：属于专门面向中小企业采购。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1、具有独立承担民事责任的能力：具有独立承担民事责任能力的法人、其他组织或自然人，提供合法有效的统一社会信用代码营业执照（事业单位提供法人证书，自然人提供身份证）。</w:t>
      </w:r>
    </w:p>
    <w:p>
      <w:pPr>
        <w:pStyle w:val="null3"/>
      </w:pPr>
      <w:r>
        <w:rPr>
          <w:rFonts w:ascii="仿宋_GB2312" w:hAnsi="仿宋_GB2312" w:cs="仿宋_GB2312" w:eastAsia="仿宋_GB2312"/>
        </w:rPr>
        <w:t>2、具有良好的商业信誉和健全的财务会计制度：法人提供经审计的2024年度财务报告（成立时间至响应文件递交截止时间不足一年的可提供成立后任意时段的资产负债表）或响应文件递交截止时间前六个月内银行出具的资信证明；其他组织和自然人提供银行出具的资信证明或财务报表。注：①提供财务报告的，内容至少包括审计报告、附注。②提供资信证明的，必须提供资信证明全部页以及基本户信息（提供开户许可证或提供基本银行账户信息），银行出具的存款证明不能代替资信证明，存款证明无效。</w:t>
      </w:r>
    </w:p>
    <w:p>
      <w:pPr>
        <w:pStyle w:val="null3"/>
      </w:pPr>
      <w:r>
        <w:rPr>
          <w:rFonts w:ascii="仿宋_GB2312" w:hAnsi="仿宋_GB2312" w:cs="仿宋_GB2312" w:eastAsia="仿宋_GB2312"/>
        </w:rPr>
        <w:t>3、有依法缴纳税收的良好记录：法人提供响应文件递交截止时间前一年内至少一个月依法缴纳税收的相关凭据（时间以税款所属日期为准，凭据应有税务机关或代收机关的公章或业务专用章）；其他组织和自然人提供缴纳税收的凭据；依法免税的供应商应提供相关文件证明。</w:t>
      </w:r>
    </w:p>
    <w:p>
      <w:pPr>
        <w:pStyle w:val="null3"/>
      </w:pPr>
      <w:r>
        <w:rPr>
          <w:rFonts w:ascii="仿宋_GB2312" w:hAnsi="仿宋_GB2312" w:cs="仿宋_GB2312" w:eastAsia="仿宋_GB2312"/>
        </w:rPr>
        <w:t>4、有依法缴纳社会保障资金的良好记录：提供响应文件递交截止时间前一年内至少一个月已缴纳的社会保障资金的凭据（社会保障资金缴存单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5、具有履行合同所必需的设备和专业技术能力：提供具有履行合同所必需的设备和专业技术能力的承诺。</w:t>
      </w:r>
    </w:p>
    <w:p>
      <w:pPr>
        <w:pStyle w:val="null3"/>
      </w:pPr>
      <w:r>
        <w:rPr>
          <w:rFonts w:ascii="仿宋_GB2312" w:hAnsi="仿宋_GB2312" w:cs="仿宋_GB2312" w:eastAsia="仿宋_GB2312"/>
        </w:rPr>
        <w:t>6、参加政府采购活动前三年内，在经营活动中没有重大违法记录：提供参加政府采购活动前三年内，在经营活动中没有重大违法记录的书面声明。</w:t>
      </w:r>
    </w:p>
    <w:p>
      <w:pPr>
        <w:pStyle w:val="null3"/>
      </w:pPr>
      <w:r>
        <w:rPr>
          <w:rFonts w:ascii="仿宋_GB2312" w:hAnsi="仿宋_GB2312" w:cs="仿宋_GB2312" w:eastAsia="仿宋_GB2312"/>
        </w:rPr>
        <w:t>7、法定代表人授权书、法定代表人身份证明合格：提供合格的法定代表人授权书（附法定代表人、被授权人身份证复印件）或法定代表人身份证明（法定代表人直接参加的）。</w:t>
      </w:r>
    </w:p>
    <w:p>
      <w:pPr>
        <w:pStyle w:val="null3"/>
      </w:pPr>
      <w:r>
        <w:rPr>
          <w:rFonts w:ascii="仿宋_GB2312" w:hAnsi="仿宋_GB2312" w:cs="仿宋_GB2312" w:eastAsia="仿宋_GB2312"/>
        </w:rPr>
        <w:t>8、信用承诺：提供未被“信用中国”网站（www.creditchina.gov.cn）列入失信被执行人或重大税收违法失信主体名单，未被财政部门在中国政府采购网（www.ccgp.gov.cn）政府采购严重违法失信行为记录名单中禁止参加政府采购活动的承诺。</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西北大学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西安市长安区郭杜教育科技产业区学府大道1号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赵老师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029-88302595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瑞恒项目管理有限公司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陕西省西安市曲江新区雁翔路3269号旺座曲江D座30层3001号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石雨鑫、张丰利、刘菲、王倩倩</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15091632950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开户名称：瑞恒项目管理有限公司</w:t>
            </w:r>
          </w:p>
          <w:p>
            <w:pPr>
              <w:pStyle w:val="null3"/>
            </w:pPr>
            <w:r>
              <w:rPr>
                <w:rFonts w:ascii="仿宋_GB2312" w:hAnsi="仿宋_GB2312" w:cs="仿宋_GB2312" w:eastAsia="仿宋_GB2312"/>
              </w:rPr>
              <w:t>开户银行：工行西安城南科技支行</w:t>
            </w:r>
          </w:p>
          <w:p>
            <w:pPr>
              <w:pStyle w:val="null3"/>
            </w:pPr>
            <w:r>
              <w:rPr>
                <w:rFonts w:ascii="仿宋_GB2312" w:hAnsi="仿宋_GB2312" w:cs="仿宋_GB2312" w:eastAsia="仿宋_GB2312"/>
              </w:rPr>
              <w:t>银行账号：3700024819200044620</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说明：成交供应商在与采购人签订合同前，须缴纳履约保证金；履约保证金金额为成交金额的5%。 缴纳方式：银行转账、支票/汇票/本票、保函/保险； 说明：成交供应商于合同签订前缴纳，缴纳金额为合同金额的5%。 缴纳方式：银行转账、支票/汇票/本票、保函/保险；履约保证金汇款账户： 户 名：西北大学 开户银行：交通银行太白路支行 账 号：611301015018001145006 履约保证金缴纳后，可持银行回执到西北大学换取收据。退还方式：待验收合格后凭收据和验收单复印件无息退还。 如遇下列情况之一者，合同履约保证金不予退还，作为对采购人的赔偿： （1）合同签订后不能按合同时限要求提供服务的； （2）所提供的服务与合同不符或验收不合格的； （3）不能按合同履约的。</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采购代理服务收费管理暂行办法的通知》（计价格[2002]1980号）及《国家发展改革委办公厅关于招标代理服务收费有关问题的通知》（发改办价格[2003]857号）规定的收费标准下浮20%收取。户名：瑞恒项目管理有限公司 开户行：工行西安城南科技支行 账号：3700024819200044620。</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西北大学</w:t>
      </w:r>
      <w:r>
        <w:rPr>
          <w:rFonts w:ascii="仿宋_GB2312" w:hAnsi="仿宋_GB2312" w:cs="仿宋_GB2312" w:eastAsia="仿宋_GB2312"/>
        </w:rPr>
        <w:t>和</w:t>
      </w:r>
      <w:r>
        <w:rPr>
          <w:rFonts w:ascii="仿宋_GB2312" w:hAnsi="仿宋_GB2312" w:cs="仿宋_GB2312" w:eastAsia="仿宋_GB2312"/>
        </w:rPr>
        <w:t>瑞恒项目管理有限公司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西北大学</w:t>
      </w:r>
      <w:r>
        <w:rPr>
          <w:rFonts w:ascii="仿宋_GB2312" w:hAnsi="仿宋_GB2312" w:cs="仿宋_GB2312" w:eastAsia="仿宋_GB2312"/>
        </w:rPr>
        <w:t>负责解释。除上述磋商文件内容，其他内容由</w:t>
      </w:r>
      <w:r>
        <w:rPr>
          <w:rFonts w:ascii="仿宋_GB2312" w:hAnsi="仿宋_GB2312" w:cs="仿宋_GB2312" w:eastAsia="仿宋_GB2312"/>
        </w:rPr>
        <w:t>瑞恒项目管理有限公司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西北大学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瑞恒项目管理有限公司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按采购文件、响应文件及合同约定执行。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瑞恒项目管理有限公司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瑞恒项目管理有限公司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瑞恒项目管理有限公司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联系人：石雨鑫、张丰利、刘菲、王倩倩</w:t>
      </w:r>
    </w:p>
    <w:p>
      <w:pPr>
        <w:pStyle w:val="null3"/>
      </w:pPr>
      <w:r>
        <w:rPr>
          <w:rFonts w:ascii="仿宋_GB2312" w:hAnsi="仿宋_GB2312" w:cs="仿宋_GB2312" w:eastAsia="仿宋_GB2312"/>
        </w:rPr>
        <w:t>联系电话：15091632950</w:t>
      </w:r>
    </w:p>
    <w:p>
      <w:pPr>
        <w:pStyle w:val="null3"/>
      </w:pPr>
      <w:r>
        <w:rPr>
          <w:rFonts w:ascii="仿宋_GB2312" w:hAnsi="仿宋_GB2312" w:cs="仿宋_GB2312" w:eastAsia="仿宋_GB2312"/>
        </w:rPr>
        <w:t>地址：陕西省西安市曲江新区雁翔路3269号旺座曲江D座30层3001号</w:t>
      </w:r>
    </w:p>
    <w:p>
      <w:pPr>
        <w:pStyle w:val="null3"/>
      </w:pPr>
      <w:r>
        <w:rPr>
          <w:rFonts w:ascii="仿宋_GB2312" w:hAnsi="仿宋_GB2312" w:cs="仿宋_GB2312" w:eastAsia="仿宋_GB2312"/>
        </w:rPr>
        <w:t>邮编：710061</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西北大学网络安全攻防实战能力提升服务项目</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700,000.00</w:t>
      </w:r>
    </w:p>
    <w:p>
      <w:pPr>
        <w:pStyle w:val="null3"/>
      </w:pPr>
      <w:r>
        <w:rPr>
          <w:rFonts w:ascii="仿宋_GB2312" w:hAnsi="仿宋_GB2312" w:cs="仿宋_GB2312" w:eastAsia="仿宋_GB2312"/>
        </w:rPr>
        <w:t>采购包最高限价（元）: 700,000.00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网络安全攻防实战能力提升服务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标的名称：网络安全攻防实战能力提升服务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0"/>
                <w:b/>
              </w:rPr>
              <w:t>一、</w:t>
            </w:r>
            <w:r>
              <w:rPr>
                <w:rFonts w:ascii="仿宋_GB2312" w:hAnsi="仿宋_GB2312" w:cs="仿宋_GB2312" w:eastAsia="仿宋_GB2312"/>
                <w:sz w:val="20"/>
                <w:b/>
              </w:rPr>
              <w:t>服务要求：</w:t>
            </w:r>
          </w:p>
          <w:p>
            <w:pPr>
              <w:pStyle w:val="null3"/>
              <w:jc w:val="both"/>
            </w:pPr>
            <w:r>
              <w:rPr>
                <w:rFonts w:ascii="仿宋_GB2312" w:hAnsi="仿宋_GB2312" w:cs="仿宋_GB2312" w:eastAsia="仿宋_GB2312"/>
                <w:sz w:val="20"/>
              </w:rPr>
              <w:t>1.1</w:t>
            </w:r>
            <w:r>
              <w:rPr>
                <w:rFonts w:ascii="仿宋_GB2312" w:hAnsi="仿宋_GB2312" w:cs="仿宋_GB2312" w:eastAsia="仿宋_GB2312"/>
                <w:sz w:val="20"/>
              </w:rPr>
              <w:t>平台技术服务需求：</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0"/>
              </w:rPr>
              <w:t>）课时支持理论课、实验课两种形式；理论课包含讲义、视频、附件、课后练习；实验课包含实验指导、视频、实验场景、附件、课后练习；</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2</w:t>
            </w:r>
            <w:r>
              <w:rPr>
                <w:rFonts w:ascii="仿宋_GB2312" w:hAnsi="仿宋_GB2312" w:cs="仿宋_GB2312" w:eastAsia="仿宋_GB2312"/>
                <w:sz w:val="20"/>
              </w:rPr>
              <w:t>）支持课时单</w:t>
            </w:r>
            <w:r>
              <w:rPr>
                <w:rFonts w:ascii="仿宋_GB2312" w:hAnsi="仿宋_GB2312" w:cs="仿宋_GB2312" w:eastAsia="仿宋_GB2312"/>
                <w:sz w:val="20"/>
              </w:rPr>
              <w:t>/</w:t>
            </w:r>
            <w:r>
              <w:rPr>
                <w:rFonts w:ascii="仿宋_GB2312" w:hAnsi="仿宋_GB2312" w:cs="仿宋_GB2312" w:eastAsia="仿宋_GB2312"/>
                <w:sz w:val="20"/>
              </w:rPr>
              <w:t>双屏切换功能，双屏模式下能够同时展示两个课件，课件包含实验指导、视频、场景；</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3</w:t>
            </w:r>
            <w:r>
              <w:rPr>
                <w:rFonts w:ascii="仿宋_GB2312" w:hAnsi="仿宋_GB2312" w:cs="仿宋_GB2312" w:eastAsia="仿宋_GB2312"/>
                <w:sz w:val="20"/>
              </w:rPr>
              <w:t>）在接入实验课虚拟机的远程桌面页面中，支持留言、笔记、实验指导、实验报告、网络拓扑以悬浮窗的形式展示，悬浮窗能够自由拖动；</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4</w:t>
            </w:r>
            <w:r>
              <w:rPr>
                <w:rFonts w:ascii="仿宋_GB2312" w:hAnsi="仿宋_GB2312" w:cs="仿宋_GB2312" w:eastAsia="仿宋_GB2312"/>
                <w:sz w:val="20"/>
              </w:rPr>
              <w:t>）支持实验课虚拟机远程接入，接入方式包括但不限于当前页面接入、新页面接入、本地安装客户端接入</w:t>
            </w:r>
            <w:r>
              <w:rPr>
                <w:rFonts w:ascii="仿宋_GB2312" w:hAnsi="仿宋_GB2312" w:cs="仿宋_GB2312" w:eastAsia="仿宋_GB2312"/>
                <w:sz w:val="20"/>
              </w:rPr>
              <w:t>(xshell</w:t>
            </w:r>
            <w:r>
              <w:rPr>
                <w:rFonts w:ascii="仿宋_GB2312" w:hAnsi="仿宋_GB2312" w:cs="仿宋_GB2312" w:eastAsia="仿宋_GB2312"/>
                <w:sz w:val="20"/>
              </w:rPr>
              <w:t>、</w:t>
            </w:r>
            <w:r>
              <w:rPr>
                <w:rFonts w:ascii="仿宋_GB2312" w:hAnsi="仿宋_GB2312" w:cs="仿宋_GB2312" w:eastAsia="仿宋_GB2312"/>
                <w:sz w:val="20"/>
              </w:rPr>
              <w:t>mstsc</w:t>
            </w:r>
            <w:r>
              <w:rPr>
                <w:rFonts w:ascii="仿宋_GB2312" w:hAnsi="仿宋_GB2312" w:cs="仿宋_GB2312" w:eastAsia="仿宋_GB2312"/>
                <w:sz w:val="20"/>
              </w:rPr>
              <w:t>等</w:t>
            </w:r>
            <w:r>
              <w:rPr>
                <w:rFonts w:ascii="仿宋_GB2312" w:hAnsi="仿宋_GB2312" w:cs="仿宋_GB2312" w:eastAsia="仿宋_GB2312"/>
                <w:sz w:val="20"/>
              </w:rPr>
              <w:t>)</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5</w:t>
            </w:r>
            <w:r>
              <w:rPr>
                <w:rFonts w:ascii="仿宋_GB2312" w:hAnsi="仿宋_GB2312" w:cs="仿宋_GB2312" w:eastAsia="仿宋_GB2312"/>
                <w:sz w:val="20"/>
              </w:rPr>
              <w:t>）支持场景倒计时功能，可自定义倒计时长参数，已启动的场景能展示倒计时，倒计时结束后场景将被自动删除；支持场景倒计时剩余时长不足</w:t>
            </w:r>
            <w:r>
              <w:rPr>
                <w:rFonts w:ascii="仿宋_GB2312" w:hAnsi="仿宋_GB2312" w:cs="仿宋_GB2312" w:eastAsia="仿宋_GB2312"/>
                <w:sz w:val="20"/>
              </w:rPr>
              <w:t>15</w:t>
            </w:r>
            <w:r>
              <w:rPr>
                <w:rFonts w:ascii="仿宋_GB2312" w:hAnsi="仿宋_GB2312" w:cs="仿宋_GB2312" w:eastAsia="仿宋_GB2312"/>
                <w:sz w:val="20"/>
              </w:rPr>
              <w:t>分钟时增加剩余时间；</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6</w:t>
            </w:r>
            <w:r>
              <w:rPr>
                <w:rFonts w:ascii="仿宋_GB2312" w:hAnsi="仿宋_GB2312" w:cs="仿宋_GB2312" w:eastAsia="仿宋_GB2312"/>
                <w:sz w:val="20"/>
              </w:rPr>
              <w:t>）攻防实训子系统提供理论题和实操题两种练习模式，理论题类型包括：单选、多选、判断、填空、简答；实操题类型包括</w:t>
            </w:r>
            <w:r>
              <w:rPr>
                <w:rFonts w:ascii="仿宋_GB2312" w:hAnsi="仿宋_GB2312" w:cs="仿宋_GB2312" w:eastAsia="仿宋_GB2312"/>
                <w:sz w:val="20"/>
              </w:rPr>
              <w:t>pwn</w:t>
            </w:r>
            <w:r>
              <w:rPr>
                <w:rFonts w:ascii="仿宋_GB2312" w:hAnsi="仿宋_GB2312" w:cs="仿宋_GB2312" w:eastAsia="仿宋_GB2312"/>
                <w:sz w:val="20"/>
              </w:rPr>
              <w:t>、</w:t>
            </w:r>
            <w:r>
              <w:rPr>
                <w:rFonts w:ascii="仿宋_GB2312" w:hAnsi="仿宋_GB2312" w:cs="仿宋_GB2312" w:eastAsia="仿宋_GB2312"/>
                <w:sz w:val="20"/>
              </w:rPr>
              <w:t>web</w:t>
            </w:r>
            <w:r>
              <w:rPr>
                <w:rFonts w:ascii="仿宋_GB2312" w:hAnsi="仿宋_GB2312" w:cs="仿宋_GB2312" w:eastAsia="仿宋_GB2312"/>
                <w:sz w:val="20"/>
              </w:rPr>
              <w:t>、</w:t>
            </w:r>
            <w:r>
              <w:rPr>
                <w:rFonts w:ascii="仿宋_GB2312" w:hAnsi="仿宋_GB2312" w:cs="仿宋_GB2312" w:eastAsia="仿宋_GB2312"/>
                <w:sz w:val="20"/>
              </w:rPr>
              <w:t>reverse</w:t>
            </w:r>
            <w:r>
              <w:rPr>
                <w:rFonts w:ascii="仿宋_GB2312" w:hAnsi="仿宋_GB2312" w:cs="仿宋_GB2312" w:eastAsia="仿宋_GB2312"/>
                <w:sz w:val="20"/>
              </w:rPr>
              <w:t>、</w:t>
            </w:r>
            <w:r>
              <w:rPr>
                <w:rFonts w:ascii="仿宋_GB2312" w:hAnsi="仿宋_GB2312" w:cs="仿宋_GB2312" w:eastAsia="仿宋_GB2312"/>
                <w:sz w:val="20"/>
              </w:rPr>
              <w:t>mobile</w:t>
            </w:r>
            <w:r>
              <w:rPr>
                <w:rFonts w:ascii="仿宋_GB2312" w:hAnsi="仿宋_GB2312" w:cs="仿宋_GB2312" w:eastAsia="仿宋_GB2312"/>
                <w:sz w:val="20"/>
              </w:rPr>
              <w:t>、</w:t>
            </w:r>
            <w:r>
              <w:rPr>
                <w:rFonts w:ascii="仿宋_GB2312" w:hAnsi="仿宋_GB2312" w:cs="仿宋_GB2312" w:eastAsia="仿宋_GB2312"/>
                <w:sz w:val="20"/>
              </w:rPr>
              <w:t>misc</w:t>
            </w:r>
            <w:r>
              <w:rPr>
                <w:rFonts w:ascii="仿宋_GB2312" w:hAnsi="仿宋_GB2312" w:cs="仿宋_GB2312" w:eastAsia="仿宋_GB2312"/>
                <w:sz w:val="20"/>
              </w:rPr>
              <w:t>、</w:t>
            </w:r>
            <w:r>
              <w:rPr>
                <w:rFonts w:ascii="仿宋_GB2312" w:hAnsi="仿宋_GB2312" w:cs="仿宋_GB2312" w:eastAsia="仿宋_GB2312"/>
                <w:sz w:val="20"/>
              </w:rPr>
              <w:t>crypto</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7</w:t>
            </w:r>
            <w:r>
              <w:rPr>
                <w:rFonts w:ascii="仿宋_GB2312" w:hAnsi="仿宋_GB2312" w:cs="仿宋_GB2312" w:eastAsia="仿宋_GB2312"/>
                <w:sz w:val="20"/>
              </w:rPr>
              <w:t>）理论题支持自由练习和自由组卷功能，自由组卷模式支持设置自定义题目数量、题目方向、题目类型、题目难度和题目状态；题目状态包括未开始、尝试过和已解出；</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8</w:t>
            </w:r>
            <w:r>
              <w:rPr>
                <w:rFonts w:ascii="仿宋_GB2312" w:hAnsi="仿宋_GB2312" w:cs="仿宋_GB2312" w:eastAsia="仿宋_GB2312"/>
                <w:sz w:val="20"/>
              </w:rPr>
              <w:t>）支持查看我的错题，支持按照答对次数、答错次数对错题进行排序，支持批量移除错题；</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9</w:t>
            </w:r>
            <w:r>
              <w:rPr>
                <w:rFonts w:ascii="仿宋_GB2312" w:hAnsi="仿宋_GB2312" w:cs="仿宋_GB2312" w:eastAsia="仿宋_GB2312"/>
                <w:sz w:val="20"/>
              </w:rPr>
              <w:t>）实操题支持静态</w:t>
            </w:r>
            <w:r>
              <w:rPr>
                <w:rFonts w:ascii="仿宋_GB2312" w:hAnsi="仿宋_GB2312" w:cs="仿宋_GB2312" w:eastAsia="仿宋_GB2312"/>
                <w:sz w:val="20"/>
              </w:rPr>
              <w:t>Flag</w:t>
            </w:r>
            <w:r>
              <w:rPr>
                <w:rFonts w:ascii="仿宋_GB2312" w:hAnsi="仿宋_GB2312" w:cs="仿宋_GB2312" w:eastAsia="仿宋_GB2312"/>
                <w:sz w:val="20"/>
              </w:rPr>
              <w:t>、动态</w:t>
            </w:r>
            <w:r>
              <w:rPr>
                <w:rFonts w:ascii="仿宋_GB2312" w:hAnsi="仿宋_GB2312" w:cs="仿宋_GB2312" w:eastAsia="仿宋_GB2312"/>
                <w:sz w:val="20"/>
              </w:rPr>
              <w:t>Flag</w:t>
            </w:r>
            <w:r>
              <w:rPr>
                <w:rFonts w:ascii="仿宋_GB2312" w:hAnsi="仿宋_GB2312" w:cs="仿宋_GB2312" w:eastAsia="仿宋_GB2312"/>
                <w:sz w:val="20"/>
              </w:rPr>
              <w:t>及随机</w:t>
            </w:r>
            <w:r>
              <w:rPr>
                <w:rFonts w:ascii="仿宋_GB2312" w:hAnsi="仿宋_GB2312" w:cs="仿宋_GB2312" w:eastAsia="仿宋_GB2312"/>
                <w:sz w:val="20"/>
              </w:rPr>
              <w:t>Flag</w:t>
            </w:r>
            <w:r>
              <w:rPr>
                <w:rFonts w:ascii="仿宋_GB2312" w:hAnsi="仿宋_GB2312" w:cs="仿宋_GB2312" w:eastAsia="仿宋_GB2312"/>
                <w:sz w:val="20"/>
              </w:rPr>
              <w:t>三种</w:t>
            </w:r>
            <w:r>
              <w:rPr>
                <w:rFonts w:ascii="仿宋_GB2312" w:hAnsi="仿宋_GB2312" w:cs="仿宋_GB2312" w:eastAsia="仿宋_GB2312"/>
                <w:sz w:val="20"/>
              </w:rPr>
              <w:t>Flag</w:t>
            </w:r>
            <w:r>
              <w:rPr>
                <w:rFonts w:ascii="仿宋_GB2312" w:hAnsi="仿宋_GB2312" w:cs="仿宋_GB2312" w:eastAsia="仿宋_GB2312"/>
                <w:sz w:val="20"/>
              </w:rPr>
              <w:t>类型；</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10</w:t>
            </w:r>
            <w:r>
              <w:rPr>
                <w:rFonts w:ascii="仿宋_GB2312" w:hAnsi="仿宋_GB2312" w:cs="仿宋_GB2312" w:eastAsia="仿宋_GB2312"/>
                <w:sz w:val="20"/>
              </w:rPr>
              <w:t>）实操题支持以习题集的方式展示，支持知识技能</w:t>
            </w:r>
            <w:r>
              <w:rPr>
                <w:rFonts w:ascii="仿宋_GB2312" w:hAnsi="仿宋_GB2312" w:cs="仿宋_GB2312" w:eastAsia="仿宋_GB2312"/>
                <w:sz w:val="20"/>
              </w:rPr>
              <w:t>top6</w:t>
            </w:r>
            <w:r>
              <w:rPr>
                <w:rFonts w:ascii="仿宋_GB2312" w:hAnsi="仿宋_GB2312" w:cs="仿宋_GB2312" w:eastAsia="仿宋_GB2312"/>
                <w:sz w:val="20"/>
              </w:rPr>
              <w:t>六维图展示，六维图方向和题目方向一致；支持方向、难度、题目状态、题目名称过滤实操题列表。</w:t>
            </w:r>
          </w:p>
          <w:p>
            <w:pPr>
              <w:pStyle w:val="null3"/>
              <w:jc w:val="both"/>
            </w:pPr>
            <w:r>
              <w:rPr>
                <w:rFonts w:ascii="仿宋_GB2312" w:hAnsi="仿宋_GB2312" w:cs="仿宋_GB2312" w:eastAsia="仿宋_GB2312"/>
                <w:sz w:val="20"/>
              </w:rPr>
              <w:t>1.2</w:t>
            </w:r>
            <w:r>
              <w:rPr>
                <w:rFonts w:ascii="仿宋_GB2312" w:hAnsi="仿宋_GB2312" w:cs="仿宋_GB2312" w:eastAsia="仿宋_GB2312"/>
                <w:sz w:val="20"/>
              </w:rPr>
              <w:t>实训课程服务需求：</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0"/>
              </w:rPr>
              <w:t>）为满足学校网络安全教学任务安排，须提供不少于</w:t>
            </w:r>
            <w:r>
              <w:rPr>
                <w:rFonts w:ascii="仿宋_GB2312" w:hAnsi="仿宋_GB2312" w:cs="仿宋_GB2312" w:eastAsia="仿宋_GB2312"/>
                <w:sz w:val="20"/>
              </w:rPr>
              <w:t>1200</w:t>
            </w:r>
            <w:r>
              <w:rPr>
                <w:rFonts w:ascii="仿宋_GB2312" w:hAnsi="仿宋_GB2312" w:cs="仿宋_GB2312" w:eastAsia="仿宋_GB2312"/>
                <w:sz w:val="20"/>
              </w:rPr>
              <w:t>课时的实训课程资源，基于教育部高等学校教学指导委员会课程大纲的课程体系，包括信息科学技术基础领域、信息安全基础领域、密码学知识领域、网络安全知识领域、系统安全知识领域、内容安全知识领域、信息安全竞赛信息安全竞赛七大领域。</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2</w:t>
            </w:r>
            <w:r>
              <w:rPr>
                <w:rFonts w:ascii="仿宋_GB2312" w:hAnsi="仿宋_GB2312" w:cs="仿宋_GB2312" w:eastAsia="仿宋_GB2312"/>
                <w:sz w:val="20"/>
              </w:rPr>
              <w:t>）提供实训课程教学服务，支撑教师团队课程教学需求。</w:t>
            </w:r>
          </w:p>
          <w:p>
            <w:pPr>
              <w:pStyle w:val="null3"/>
              <w:jc w:val="both"/>
            </w:pPr>
            <w:r>
              <w:rPr>
                <w:rFonts w:ascii="仿宋_GB2312" w:hAnsi="仿宋_GB2312" w:cs="仿宋_GB2312" w:eastAsia="仿宋_GB2312"/>
                <w:sz w:val="20"/>
              </w:rPr>
              <w:t>1.3</w:t>
            </w:r>
            <w:r>
              <w:rPr>
                <w:rFonts w:ascii="仿宋_GB2312" w:hAnsi="仿宋_GB2312" w:cs="仿宋_GB2312" w:eastAsia="仿宋_GB2312"/>
                <w:sz w:val="20"/>
              </w:rPr>
              <w:t>比赛平台支撑服务需求：</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0"/>
              </w:rPr>
              <w:t>）支持赛场功能，支持在同一赛场中关联多种不同类型的比赛进行统一查看与进入比赛；</w:t>
            </w:r>
          </w:p>
          <w:p>
            <w:pPr>
              <w:pStyle w:val="null3"/>
            </w:pPr>
            <w:r>
              <w:rPr>
                <w:rFonts w:ascii="仿宋_GB2312" w:hAnsi="仿宋_GB2312" w:cs="仿宋_GB2312" w:eastAsia="仿宋_GB2312"/>
                <w:sz w:val="20"/>
              </w:rPr>
              <w:t>（</w:t>
            </w:r>
            <w:r>
              <w:rPr>
                <w:rFonts w:ascii="仿宋_GB2312" w:hAnsi="仿宋_GB2312" w:cs="仿宋_GB2312" w:eastAsia="仿宋_GB2312"/>
                <w:sz w:val="20"/>
              </w:rPr>
              <w:t>2</w:t>
            </w:r>
            <w:r>
              <w:rPr>
                <w:rFonts w:ascii="仿宋_GB2312" w:hAnsi="仿宋_GB2312" w:cs="仿宋_GB2312" w:eastAsia="仿宋_GB2312"/>
                <w:sz w:val="20"/>
              </w:rPr>
              <w:t>）竞赛支持至少</w:t>
            </w:r>
            <w:r>
              <w:rPr>
                <w:rFonts w:ascii="仿宋_GB2312" w:hAnsi="仿宋_GB2312" w:cs="仿宋_GB2312" w:eastAsia="仿宋_GB2312"/>
                <w:sz w:val="20"/>
              </w:rPr>
              <w:t>6</w:t>
            </w:r>
            <w:r>
              <w:rPr>
                <w:rFonts w:ascii="仿宋_GB2312" w:hAnsi="仿宋_GB2312" w:cs="仿宋_GB2312" w:eastAsia="仿宋_GB2312"/>
                <w:sz w:val="20"/>
              </w:rPr>
              <w:t>种赛制模式，包括理论赛、</w:t>
            </w:r>
            <w:r>
              <w:rPr>
                <w:rFonts w:ascii="仿宋_GB2312" w:hAnsi="仿宋_GB2312" w:cs="仿宋_GB2312" w:eastAsia="仿宋_GB2312"/>
                <w:sz w:val="20"/>
              </w:rPr>
              <w:t>CTF</w:t>
            </w:r>
            <w:r>
              <w:rPr>
                <w:rFonts w:ascii="仿宋_GB2312" w:hAnsi="仿宋_GB2312" w:cs="仿宋_GB2312" w:eastAsia="仿宋_GB2312"/>
                <w:sz w:val="20"/>
              </w:rPr>
              <w:t>夺旗赛、攻防赛、运维赛、渗透赛、沙盒攻防赛等</w:t>
            </w:r>
            <w:r>
              <w:rPr>
                <w:rFonts w:ascii="仿宋_GB2312" w:hAnsi="仿宋_GB2312" w:cs="仿宋_GB2312" w:eastAsia="仿宋_GB2312"/>
                <w:sz w:val="20"/>
              </w:rPr>
              <w:t>。</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0"/>
                <w:b/>
              </w:rPr>
              <w:t>二、</w:t>
            </w:r>
            <w:r>
              <w:rPr>
                <w:rFonts w:ascii="仿宋_GB2312" w:hAnsi="仿宋_GB2312" w:cs="仿宋_GB2312" w:eastAsia="仿宋_GB2312"/>
                <w:sz w:val="20"/>
                <w:b/>
              </w:rPr>
              <w:t>服务期限：</w:t>
            </w:r>
          </w:p>
          <w:p>
            <w:pPr>
              <w:pStyle w:val="null3"/>
              <w:jc w:val="both"/>
            </w:pPr>
            <w:r>
              <w:rPr>
                <w:rFonts w:ascii="仿宋_GB2312" w:hAnsi="仿宋_GB2312" w:cs="仿宋_GB2312" w:eastAsia="仿宋_GB2312"/>
                <w:sz w:val="20"/>
              </w:rPr>
              <w:t xml:space="preserve">2.1 </w:t>
            </w:r>
            <w:r>
              <w:rPr>
                <w:rFonts w:ascii="仿宋_GB2312" w:hAnsi="仿宋_GB2312" w:cs="仿宋_GB2312" w:eastAsia="仿宋_GB2312"/>
                <w:sz w:val="20"/>
              </w:rPr>
              <w:t>培训平台服务：服务期内提供线下精品课程和实训习题，主要面向本科生和研</w:t>
            </w:r>
          </w:p>
          <w:p>
            <w:pPr>
              <w:pStyle w:val="null3"/>
              <w:jc w:val="both"/>
            </w:pPr>
            <w:r>
              <w:rPr>
                <w:rFonts w:ascii="仿宋_GB2312" w:hAnsi="仿宋_GB2312" w:cs="仿宋_GB2312" w:eastAsia="仿宋_GB2312"/>
                <w:sz w:val="20"/>
              </w:rPr>
              <w:t>究生，平台支持并发授权数</w:t>
            </w:r>
            <w:r>
              <w:rPr>
                <w:rFonts w:ascii="仿宋_GB2312" w:hAnsi="仿宋_GB2312" w:cs="仿宋_GB2312" w:eastAsia="仿宋_GB2312"/>
                <w:sz w:val="20"/>
              </w:rPr>
              <w:t>200</w:t>
            </w:r>
            <w:r>
              <w:rPr>
                <w:rFonts w:ascii="仿宋_GB2312" w:hAnsi="仿宋_GB2312" w:cs="仿宋_GB2312" w:eastAsia="仿宋_GB2312"/>
                <w:sz w:val="20"/>
              </w:rPr>
              <w:t>节点并发，用户可自行练习；</w:t>
            </w:r>
          </w:p>
          <w:p>
            <w:pPr>
              <w:pStyle w:val="null3"/>
              <w:jc w:val="both"/>
            </w:pPr>
            <w:r>
              <w:rPr>
                <w:rFonts w:ascii="仿宋_GB2312" w:hAnsi="仿宋_GB2312" w:cs="仿宋_GB2312" w:eastAsia="仿宋_GB2312"/>
                <w:sz w:val="20"/>
              </w:rPr>
              <w:t xml:space="preserve">2.2 </w:t>
            </w:r>
            <w:r>
              <w:rPr>
                <w:rFonts w:ascii="仿宋_GB2312" w:hAnsi="仿宋_GB2312" w:cs="仿宋_GB2312" w:eastAsia="仿宋_GB2312"/>
                <w:sz w:val="20"/>
              </w:rPr>
              <w:t>比赛培训服务：服务期内提供</w:t>
            </w:r>
            <w:r>
              <w:rPr>
                <w:rFonts w:ascii="仿宋_GB2312" w:hAnsi="仿宋_GB2312" w:cs="仿宋_GB2312" w:eastAsia="仿宋_GB2312"/>
                <w:sz w:val="20"/>
              </w:rPr>
              <w:t>6</w:t>
            </w:r>
            <w:r>
              <w:rPr>
                <w:rFonts w:ascii="仿宋_GB2312" w:hAnsi="仿宋_GB2312" w:cs="仿宋_GB2312" w:eastAsia="仿宋_GB2312"/>
                <w:sz w:val="20"/>
              </w:rPr>
              <w:t>次大赛赛前培训服务，每次培训服务时长不少</w:t>
            </w:r>
          </w:p>
          <w:p>
            <w:pPr>
              <w:pStyle w:val="null3"/>
            </w:pPr>
            <w:r>
              <w:rPr>
                <w:rFonts w:ascii="仿宋_GB2312" w:hAnsi="仿宋_GB2312" w:cs="仿宋_GB2312" w:eastAsia="仿宋_GB2312"/>
                <w:sz w:val="20"/>
              </w:rPr>
              <w:t>于</w:t>
            </w:r>
            <w:r>
              <w:rPr>
                <w:rFonts w:ascii="仿宋_GB2312" w:hAnsi="仿宋_GB2312" w:cs="仿宋_GB2312" w:eastAsia="仿宋_GB2312"/>
                <w:sz w:val="20"/>
              </w:rPr>
              <w:t>3</w:t>
            </w:r>
            <w:r>
              <w:rPr>
                <w:rFonts w:ascii="仿宋_GB2312" w:hAnsi="仿宋_GB2312" w:cs="仿宋_GB2312" w:eastAsia="仿宋_GB2312"/>
                <w:sz w:val="20"/>
              </w:rPr>
              <w:t>天。</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sz w:val="20"/>
                <w:b/>
              </w:rPr>
              <w:t>三、</w:t>
            </w:r>
            <w:r>
              <w:rPr>
                <w:rFonts w:ascii="仿宋_GB2312" w:hAnsi="仿宋_GB2312" w:cs="仿宋_GB2312" w:eastAsia="仿宋_GB2312"/>
                <w:sz w:val="20"/>
                <w:b/>
              </w:rPr>
              <w:t>服务人员要求：</w:t>
            </w:r>
          </w:p>
          <w:p>
            <w:pPr>
              <w:pStyle w:val="null3"/>
              <w:jc w:val="both"/>
            </w:pPr>
            <w:r>
              <w:rPr>
                <w:rFonts w:ascii="仿宋_GB2312" w:hAnsi="仿宋_GB2312" w:cs="仿宋_GB2312" w:eastAsia="仿宋_GB2312"/>
                <w:sz w:val="20"/>
              </w:rPr>
              <w:t xml:space="preserve">3.1 </w:t>
            </w:r>
            <w:r>
              <w:rPr>
                <w:rFonts w:ascii="仿宋_GB2312" w:hAnsi="仿宋_GB2312" w:cs="仿宋_GB2312" w:eastAsia="仿宋_GB2312"/>
                <w:sz w:val="20"/>
              </w:rPr>
              <w:t>项目经理需具备项目统筹相关能力，获得过相关证书资质，证书包括但不限于</w:t>
            </w:r>
            <w:r>
              <w:rPr>
                <w:rFonts w:ascii="仿宋_GB2312" w:hAnsi="仿宋_GB2312" w:cs="仿宋_GB2312" w:eastAsia="仿宋_GB2312"/>
                <w:sz w:val="20"/>
              </w:rPr>
              <w:t>PMP</w:t>
            </w:r>
            <w:r>
              <w:rPr>
                <w:rFonts w:ascii="仿宋_GB2312" w:hAnsi="仿宋_GB2312" w:cs="仿宋_GB2312" w:eastAsia="仿宋_GB2312"/>
                <w:sz w:val="20"/>
              </w:rPr>
              <w:t>、</w:t>
            </w:r>
            <w:r>
              <w:rPr>
                <w:rFonts w:ascii="仿宋_GB2312" w:hAnsi="仿宋_GB2312" w:cs="仿宋_GB2312" w:eastAsia="仿宋_GB2312"/>
                <w:sz w:val="20"/>
              </w:rPr>
              <w:t>CISP</w:t>
            </w:r>
            <w:r>
              <w:rPr>
                <w:rFonts w:ascii="仿宋_GB2312" w:hAnsi="仿宋_GB2312" w:cs="仿宋_GB2312" w:eastAsia="仿宋_GB2312"/>
                <w:sz w:val="20"/>
              </w:rPr>
              <w:t>认证、</w:t>
            </w:r>
            <w:r>
              <w:rPr>
                <w:rFonts w:ascii="仿宋_GB2312" w:hAnsi="仿宋_GB2312" w:cs="仿宋_GB2312" w:eastAsia="仿宋_GB2312"/>
                <w:sz w:val="20"/>
              </w:rPr>
              <w:t>CISP-PTE</w:t>
            </w:r>
            <w:r>
              <w:rPr>
                <w:rFonts w:ascii="仿宋_GB2312" w:hAnsi="仿宋_GB2312" w:cs="仿宋_GB2312" w:eastAsia="仿宋_GB2312"/>
                <w:sz w:val="20"/>
              </w:rPr>
              <w:t>认证、</w:t>
            </w:r>
            <w:r>
              <w:rPr>
                <w:rFonts w:ascii="仿宋_GB2312" w:hAnsi="仿宋_GB2312" w:cs="仿宋_GB2312" w:eastAsia="仿宋_GB2312"/>
                <w:sz w:val="20"/>
              </w:rPr>
              <w:t>CISAW</w:t>
            </w:r>
            <w:r>
              <w:rPr>
                <w:rFonts w:ascii="仿宋_GB2312" w:hAnsi="仿宋_GB2312" w:cs="仿宋_GB2312" w:eastAsia="仿宋_GB2312"/>
                <w:sz w:val="20"/>
              </w:rPr>
              <w:t>、</w:t>
            </w:r>
            <w:r>
              <w:rPr>
                <w:rFonts w:ascii="仿宋_GB2312" w:hAnsi="仿宋_GB2312" w:cs="仿宋_GB2312" w:eastAsia="仿宋_GB2312"/>
                <w:sz w:val="20"/>
              </w:rPr>
              <w:t>CCIE</w:t>
            </w:r>
            <w:r>
              <w:rPr>
                <w:rFonts w:ascii="仿宋_GB2312" w:hAnsi="仿宋_GB2312" w:cs="仿宋_GB2312" w:eastAsia="仿宋_GB2312"/>
                <w:sz w:val="20"/>
              </w:rPr>
              <w:t>、网络工程师、信息系统项目管理师、信息安全工程师等，择优选取；</w:t>
            </w:r>
          </w:p>
          <w:p>
            <w:pPr>
              <w:pStyle w:val="null3"/>
            </w:pPr>
            <w:r>
              <w:rPr>
                <w:rFonts w:ascii="仿宋_GB2312" w:hAnsi="仿宋_GB2312" w:cs="仿宋_GB2312" w:eastAsia="仿宋_GB2312"/>
                <w:sz w:val="20"/>
              </w:rPr>
              <w:t xml:space="preserve">3.2 </w:t>
            </w:r>
            <w:r>
              <w:rPr>
                <w:rFonts w:ascii="仿宋_GB2312" w:hAnsi="仿宋_GB2312" w:cs="仿宋_GB2312" w:eastAsia="仿宋_GB2312"/>
                <w:sz w:val="20"/>
              </w:rPr>
              <w:t xml:space="preserve">培训讲师能力要求：培训讲师需参加过 </w:t>
            </w:r>
            <w:r>
              <w:rPr>
                <w:rFonts w:ascii="仿宋_GB2312" w:hAnsi="仿宋_GB2312" w:cs="仿宋_GB2312" w:eastAsia="仿宋_GB2312"/>
                <w:sz w:val="20"/>
              </w:rPr>
              <w:t xml:space="preserve">2022 </w:t>
            </w:r>
            <w:r>
              <w:rPr>
                <w:rFonts w:ascii="仿宋_GB2312" w:hAnsi="仿宋_GB2312" w:cs="仿宋_GB2312" w:eastAsia="仿宋_GB2312"/>
                <w:sz w:val="20"/>
              </w:rPr>
              <w:t>年以来强网杯、网鼎杯、</w:t>
            </w:r>
            <w:r>
              <w:rPr>
                <w:rFonts w:ascii="仿宋_GB2312" w:hAnsi="仿宋_GB2312" w:cs="仿宋_GB2312" w:eastAsia="仿宋_GB2312"/>
                <w:sz w:val="20"/>
              </w:rPr>
              <w:t>XCTF</w:t>
            </w:r>
            <w:r>
              <w:rPr>
                <w:rFonts w:ascii="仿宋_GB2312" w:hAnsi="仿宋_GB2312" w:cs="仿宋_GB2312" w:eastAsia="仿宋_GB2312"/>
                <w:sz w:val="20"/>
              </w:rPr>
              <w:t>联赛和</w:t>
            </w:r>
            <w:r>
              <w:rPr>
                <w:rFonts w:ascii="仿宋_GB2312" w:hAnsi="仿宋_GB2312" w:cs="仿宋_GB2312" w:eastAsia="仿宋_GB2312"/>
                <w:sz w:val="20"/>
              </w:rPr>
              <w:t>XNUCA</w:t>
            </w:r>
            <w:r>
              <w:rPr>
                <w:rFonts w:ascii="仿宋_GB2312" w:hAnsi="仿宋_GB2312" w:cs="仿宋_GB2312" w:eastAsia="仿宋_GB2312"/>
                <w:sz w:val="20"/>
              </w:rPr>
              <w:t>联赛等国家级网络安全赛事，获三等奖及以上名次，并提供包含个人姓名的比赛获奖证书。</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sz w:val="20"/>
                <w:b/>
              </w:rPr>
              <w:t>四、</w:t>
            </w:r>
            <w:r>
              <w:rPr>
                <w:rFonts w:ascii="仿宋_GB2312" w:hAnsi="仿宋_GB2312" w:cs="仿宋_GB2312" w:eastAsia="仿宋_GB2312"/>
                <w:sz w:val="20"/>
                <w:b/>
              </w:rPr>
              <w:t>采购标的需实现的功能或者目标：</w:t>
            </w:r>
          </w:p>
          <w:p>
            <w:pPr>
              <w:pStyle w:val="null3"/>
              <w:jc w:val="left"/>
            </w:pPr>
            <w:r>
              <w:rPr>
                <w:rFonts w:ascii="仿宋_GB2312" w:hAnsi="仿宋_GB2312" w:cs="仿宋_GB2312" w:eastAsia="仿宋_GB2312"/>
                <w:sz w:val="20"/>
              </w:rPr>
              <w:t>平台技术服务需求：通过构建虚拟化、智能化的实训竞赛服务平台，为学生提供贴近真实场景的操作环境。例如，靶场平台的建设可以模拟真实的网络安全攻防场景，帮助学生掌握复杂问题的解决能力。</w:t>
            </w:r>
          </w:p>
          <w:p>
            <w:pPr>
              <w:pStyle w:val="null3"/>
              <w:jc w:val="left"/>
            </w:pPr>
            <w:r>
              <w:rPr>
                <w:rFonts w:ascii="仿宋_GB2312" w:hAnsi="仿宋_GB2312" w:cs="仿宋_GB2312" w:eastAsia="仿宋_GB2312"/>
                <w:sz w:val="20"/>
              </w:rPr>
              <w:t>实训课程服务需求：针对不同学科特点，设计系统化的实训课程体系，包括信息安全基础、网络安全、系统安全、安全竞赛等内容。通过课程教学和实验实操，提升学生的动手能力和解决问题的能力。</w:t>
            </w:r>
          </w:p>
          <w:p>
            <w:pPr>
              <w:pStyle w:val="null3"/>
            </w:pPr>
            <w:r>
              <w:rPr>
                <w:rFonts w:ascii="仿宋_GB2312" w:hAnsi="仿宋_GB2312" w:cs="仿宋_GB2312" w:eastAsia="仿宋_GB2312"/>
                <w:sz w:val="20"/>
              </w:rPr>
              <w:t>比赛培训服务需求：在通过平台提供理论赛、</w:t>
            </w:r>
            <w:r>
              <w:rPr>
                <w:rFonts w:ascii="仿宋_GB2312" w:hAnsi="仿宋_GB2312" w:cs="仿宋_GB2312" w:eastAsia="仿宋_GB2312"/>
                <w:sz w:val="20"/>
              </w:rPr>
              <w:t>CTF夺旗赛、攻防赛、渗透赛、运维赛、沙盒攻防赛等多样化竞赛形式，提供实时数据监控、评分系统等功能，帮助学生在比赛中锻炼实战能力，同时为教师提供科学的评估依据。并提供大赛赛前培训服务。</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按项目需求配置。</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按项目需求配置。</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自合同签订之日起365天</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西北大学</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（1）质量标准。乙方保证提供的服务质量应符合中华人民共和国相关标准及相应的技术规范、本次采购相关文件中的全部相关要求及乙方相关服务标准及相应的技术规范中之较高者。 （2）验收组织。甲方负责按规定组织验收工作并出具验收书，涉及向学校师生提供的公共服务项目，验收时须邀请服务对象参与并出具意见。</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合同生效后，待服务期满并经甲方验收合格后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中标/成交供应商所交付服务不符合其投标承诺，存在偷工减料、以次充好情形的，采购人要求更换一次后仍不符合约定的，采购人有权解除采购合同，没收履约保证金，并将有关情况上报政府采购监管部门处理。</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①为顺利推进政府采购电子化交易平台应用工作，供应商需要在线提交所有通过电子化交易平台实施的政府采购项目的响应文件，同时，线下提交纸质响应文件正本壹份、副本贰份。②纸质响应文件正、副本分别胶装，标明供应商名称密封递交，递交截止时间同在线递交电子响应文件截止时间一致，递交地址：陕西省西安市曲江新区雁翔路3269号旺座曲江D座30层3001号（纸质响应文件可邮寄，邮件发出时间应在递交电子响应文件截止时间之前，邮寄地址：陕西省西安市曲江新区雁翔路3269号旺座曲江D座30层3001号，联系人：王工，联系电话：15091632950）。③若电子响应文件与纸质响应文件不一致的，以电子响应文件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法人提供经审计的2024年度财务报告（成立时间至响应文件递交截止时间不足一年的可提供成立后任意时段的资产负债表）或响应文件递交截止时间前六个月内银行出具的资信证明；其他组织和自然人提供银行出具的资信证明或财务报表。注：①提供财务报告的，内容至少包括审计报告、附注。②提供资信证明的，必须提供资信证明全部页以及基本户信息（提供开户许可证或提供基本银行账户信息），银行出具的存款证明不能代替资信证明，存款证明无效。</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具有独立承担民事责任能力的法人、其他组织或自然人，提供合法有效的统一社会信用代码营业执照（事业单位提供法人证书，自然人提供身份证）。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具有良好的商业信誉和健全的财务会计制度</w:t>
            </w:r>
          </w:p>
        </w:tc>
        <w:tc>
          <w:tcPr>
            <w:tcW w:type="dxa" w:w="3322"/>
          </w:tcPr>
          <w:p>
            <w:pPr>
              <w:pStyle w:val="null3"/>
            </w:pPr>
            <w:r>
              <w:rPr>
                <w:rFonts w:ascii="仿宋_GB2312" w:hAnsi="仿宋_GB2312" w:cs="仿宋_GB2312" w:eastAsia="仿宋_GB2312"/>
              </w:rPr>
              <w:t>法人提供经审计的2024年度财务报告（成立时间至响应文件递交截止时间不足一年的可提供成立后任意时段的资产负债表）或响应文件递交截止时间前六个月内银行出具的资信证明；其他组织和自然人提供银行出具的资信证明或财务报表。注：①提供财务报告的，内容至少包括审计报告、附注。②提供资信证明的，必须提供资信证明全部页以及基本户信息（提供开户许可证或提供基本银行账户信息），银行出具的存款证明不能代替资信证明，存款证明无效。</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有依法缴纳税收的良好记录</w:t>
            </w:r>
          </w:p>
        </w:tc>
        <w:tc>
          <w:tcPr>
            <w:tcW w:type="dxa" w:w="3322"/>
          </w:tcPr>
          <w:p>
            <w:pPr>
              <w:pStyle w:val="null3"/>
            </w:pPr>
            <w:r>
              <w:rPr>
                <w:rFonts w:ascii="仿宋_GB2312" w:hAnsi="仿宋_GB2312" w:cs="仿宋_GB2312" w:eastAsia="仿宋_GB2312"/>
              </w:rPr>
              <w:t>法人提供响应文件递交截止时间前一年内至少一个月依法缴纳税收的相关凭据（时间以税款所属日期为准，凭据应有税务机关或代收机关的公章或业务专用章）；其他组织和自然人提供缴纳税收的凭据；依法免税的供应商应提供相关文件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有依法缴纳社会保障资金的良好记录</w:t>
            </w:r>
          </w:p>
        </w:tc>
        <w:tc>
          <w:tcPr>
            <w:tcW w:type="dxa" w:w="3322"/>
          </w:tcPr>
          <w:p>
            <w:pPr>
              <w:pStyle w:val="null3"/>
            </w:pPr>
            <w:r>
              <w:rPr>
                <w:rFonts w:ascii="仿宋_GB2312" w:hAnsi="仿宋_GB2312" w:cs="仿宋_GB2312" w:eastAsia="仿宋_GB2312"/>
              </w:rPr>
              <w:t>提供响应文件递交截止时间前一年内至少一个月已缴纳的社会保障资金的凭据（社会保障资金缴存单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参加政府采购活动前三年内，在经营活动中没有重大违法记录</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法定代表人授权书、法定代表人身份证明合格</w:t>
            </w:r>
          </w:p>
        </w:tc>
        <w:tc>
          <w:tcPr>
            <w:tcW w:type="dxa" w:w="3322"/>
          </w:tcPr>
          <w:p>
            <w:pPr>
              <w:pStyle w:val="null3"/>
            </w:pPr>
            <w:r>
              <w:rPr>
                <w:rFonts w:ascii="仿宋_GB2312" w:hAnsi="仿宋_GB2312" w:cs="仿宋_GB2312" w:eastAsia="仿宋_GB2312"/>
              </w:rPr>
              <w:t>提供合格的法定代表人授权书（附法定代表人、被授权人身份证复印件）或法定代表人身份证明（法定代表人直接参加的）。</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信用承诺</w:t>
            </w:r>
          </w:p>
        </w:tc>
        <w:tc>
          <w:tcPr>
            <w:tcW w:type="dxa" w:w="3322"/>
          </w:tcPr>
          <w:p>
            <w:pPr>
              <w:pStyle w:val="null3"/>
            </w:pPr>
            <w:r>
              <w:rPr>
                <w:rFonts w:ascii="仿宋_GB2312" w:hAnsi="仿宋_GB2312" w:cs="仿宋_GB2312" w:eastAsia="仿宋_GB2312"/>
              </w:rPr>
              <w:t>提供未被“信用中国”网站（www.creditchina.gov.cn）列入失信被执行人或重大税收违法失信主体名单，未被财政部门在中国政府采购网（www.ccgp.gov.cn）政府采购严重违法失信行为记录名单中禁止参加政府采购活动的承诺。</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供应商名称与营业执照一致</w:t>
            </w:r>
          </w:p>
        </w:tc>
        <w:tc>
          <w:tcPr>
            <w:tcW w:type="dxa" w:w="3322"/>
          </w:tcPr>
          <w:p>
            <w:pPr>
              <w:pStyle w:val="null3"/>
            </w:pPr>
            <w:r>
              <w:rPr>
                <w:rFonts w:ascii="仿宋_GB2312" w:hAnsi="仿宋_GB2312" w:cs="仿宋_GB2312" w:eastAsia="仿宋_GB2312"/>
              </w:rPr>
              <w:t>供应商名称与营业执照一致（合格）供应商名称与营业执照不一致（不合格）</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响应文件按采购文件要求的数量、计量单位、报价货币及签字盖章</w:t>
            </w:r>
          </w:p>
        </w:tc>
        <w:tc>
          <w:tcPr>
            <w:tcW w:type="dxa" w:w="3322"/>
          </w:tcPr>
          <w:p>
            <w:pPr>
              <w:pStyle w:val="null3"/>
            </w:pPr>
            <w:r>
              <w:rPr>
                <w:rFonts w:ascii="仿宋_GB2312" w:hAnsi="仿宋_GB2312" w:cs="仿宋_GB2312" w:eastAsia="仿宋_GB2312"/>
              </w:rPr>
              <w:t>响应文件按采购文件要求的数量、计量单位、报价货币及签字盖章（合格）响应文件未按采购文件要求的数量、计量单位、报价货币及签字盖章（不合格）</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响应有效期满足采购文件要求</w:t>
            </w:r>
          </w:p>
        </w:tc>
        <w:tc>
          <w:tcPr>
            <w:tcW w:type="dxa" w:w="3322"/>
          </w:tcPr>
          <w:p>
            <w:pPr>
              <w:pStyle w:val="null3"/>
            </w:pPr>
            <w:r>
              <w:rPr>
                <w:rFonts w:ascii="仿宋_GB2312" w:hAnsi="仿宋_GB2312" w:cs="仿宋_GB2312" w:eastAsia="仿宋_GB2312"/>
              </w:rPr>
              <w:t>响应有效期满足采购文件要求（合格）响应有效期不满足采购文件要求（不合格）</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技术、商务响应满足实质性要求</w:t>
            </w:r>
          </w:p>
        </w:tc>
        <w:tc>
          <w:tcPr>
            <w:tcW w:type="dxa" w:w="3322"/>
          </w:tcPr>
          <w:p>
            <w:pPr>
              <w:pStyle w:val="null3"/>
            </w:pPr>
            <w:r>
              <w:rPr>
                <w:rFonts w:ascii="仿宋_GB2312" w:hAnsi="仿宋_GB2312" w:cs="仿宋_GB2312" w:eastAsia="仿宋_GB2312"/>
              </w:rPr>
              <w:t>技术响应满足第三章3.2.2服务要求中加“★” 项要求，商务响应满足第三章3.3商务要求（合格），任意一条不满足（不合格）。</w:t>
            </w:r>
          </w:p>
        </w:tc>
        <w:tc>
          <w:tcPr>
            <w:tcW w:type="dxa" w:w="1661"/>
          </w:tcPr>
          <w:p>
            <w:pPr>
              <w:pStyle w:val="null3"/>
            </w:pPr>
            <w:r>
              <w:rPr>
                <w:rFonts w:ascii="仿宋_GB2312" w:hAnsi="仿宋_GB2312" w:cs="仿宋_GB2312" w:eastAsia="仿宋_GB2312"/>
              </w:rPr>
              <w:t>服务内容及服务邀请应答表 商务应答表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符合法律、法规和采购文件中规定的其他实质性要求</w:t>
            </w:r>
          </w:p>
        </w:tc>
        <w:tc>
          <w:tcPr>
            <w:tcW w:type="dxa" w:w="3322"/>
          </w:tcPr>
          <w:p>
            <w:pPr>
              <w:pStyle w:val="null3"/>
            </w:pPr>
            <w:r>
              <w:rPr>
                <w:rFonts w:ascii="仿宋_GB2312" w:hAnsi="仿宋_GB2312" w:cs="仿宋_GB2312" w:eastAsia="仿宋_GB2312"/>
              </w:rPr>
              <w:t>符合法律、法规和采购文件中规定的其他实质性要求（合格）不符合法律、法规和采购文件中规定的其他实质性要求（不合格）</w:t>
            </w:r>
          </w:p>
        </w:tc>
        <w:tc>
          <w:tcPr>
            <w:tcW w:type="dxa" w:w="1661"/>
          </w:tcPr>
          <w:p>
            <w:pPr>
              <w:pStyle w:val="null3"/>
            </w:pPr>
            <w:r>
              <w:rPr>
                <w:rFonts w:ascii="仿宋_GB2312" w:hAnsi="仿宋_GB2312" w:cs="仿宋_GB2312" w:eastAsia="仿宋_GB2312"/>
              </w:rPr>
              <w:t>商务应答表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服务响应</w:t>
            </w:r>
          </w:p>
        </w:tc>
        <w:tc>
          <w:tcPr>
            <w:tcW w:type="dxa" w:w="2492"/>
          </w:tcPr>
          <w:p>
            <w:pPr>
              <w:pStyle w:val="null3"/>
            </w:pPr>
            <w:r>
              <w:rPr>
                <w:rFonts w:ascii="仿宋_GB2312" w:hAnsi="仿宋_GB2312" w:cs="仿宋_GB2312" w:eastAsia="仿宋_GB2312"/>
              </w:rPr>
              <w:t>供应商服务响应完全满足采购文件第三章“磋商项目技术、服务、商务及其他要求”第3.2.2条中“一、服务要求”所列内容，没有负偏离的计14分，每有一项负偏离扣1分，扣完为止。</w:t>
            </w:r>
          </w:p>
        </w:tc>
        <w:tc>
          <w:tcPr>
            <w:tcW w:type="dxa" w:w="831"/>
          </w:tcPr>
          <w:p>
            <w:pPr>
              <w:pStyle w:val="null3"/>
              <w:jc w:val="right"/>
            </w:pPr>
            <w:r>
              <w:rPr>
                <w:rFonts w:ascii="仿宋_GB2312" w:hAnsi="仿宋_GB2312" w:cs="仿宋_GB2312" w:eastAsia="仿宋_GB2312"/>
              </w:rPr>
              <w:t>14.0000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服务响应.docx</w:t>
            </w:r>
          </w:p>
        </w:tc>
      </w:tr>
      <w:tr>
        <w:tc>
          <w:tcPr>
            <w:tcW w:type="dxa" w:w="831"/>
            <w:vMerge/>
          </w:tcPr>
          <w:p/>
        </w:tc>
        <w:tc>
          <w:tcPr>
            <w:tcW w:type="dxa" w:w="1661"/>
          </w:tcPr>
          <w:p>
            <w:pPr>
              <w:pStyle w:val="null3"/>
            </w:pPr>
            <w:r>
              <w:rPr>
                <w:rFonts w:ascii="仿宋_GB2312" w:hAnsi="仿宋_GB2312" w:cs="仿宋_GB2312" w:eastAsia="仿宋_GB2312"/>
              </w:rPr>
              <w:t>项目经理</w:t>
            </w:r>
          </w:p>
        </w:tc>
        <w:tc>
          <w:tcPr>
            <w:tcW w:type="dxa" w:w="2492"/>
          </w:tcPr>
          <w:p>
            <w:pPr>
              <w:pStyle w:val="null3"/>
            </w:pPr>
            <w:r>
              <w:rPr>
                <w:rFonts w:ascii="仿宋_GB2312" w:hAnsi="仿宋_GB2312" w:cs="仿宋_GB2312" w:eastAsia="仿宋_GB2312"/>
              </w:rPr>
              <w:t>项目经理具备项目统筹相关能力，获得过相关证书资质，证书包括但不限于PMP、CISP认证、CISP-PTE认证、CISAW、CCIE、网络工程师、信息系统项目管理师、信息安全工程师等，每提供一个有效证书计1分，最多得8分。 注：须提供响应文件递交截止时间前三个月内任意一个月供应商为人员缴纳社会保险的证明材料加盖供应商公章。</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项目经理.docx</w:t>
            </w:r>
          </w:p>
        </w:tc>
      </w:tr>
      <w:tr>
        <w:tc>
          <w:tcPr>
            <w:tcW w:type="dxa" w:w="831"/>
            <w:vMerge/>
          </w:tcPr>
          <w:p/>
        </w:tc>
        <w:tc>
          <w:tcPr>
            <w:tcW w:type="dxa" w:w="1661"/>
          </w:tcPr>
          <w:p>
            <w:pPr>
              <w:pStyle w:val="null3"/>
            </w:pPr>
            <w:r>
              <w:rPr>
                <w:rFonts w:ascii="仿宋_GB2312" w:hAnsi="仿宋_GB2312" w:cs="仿宋_GB2312" w:eastAsia="仿宋_GB2312"/>
              </w:rPr>
              <w:t>培训讲师</w:t>
            </w:r>
          </w:p>
        </w:tc>
        <w:tc>
          <w:tcPr>
            <w:tcW w:type="dxa" w:w="2492"/>
          </w:tcPr>
          <w:p>
            <w:pPr>
              <w:pStyle w:val="null3"/>
            </w:pPr>
            <w:r>
              <w:rPr>
                <w:rFonts w:ascii="仿宋_GB2312" w:hAnsi="仿宋_GB2312" w:cs="仿宋_GB2312" w:eastAsia="仿宋_GB2312"/>
              </w:rPr>
              <w:t>培训讲师需参加过2022年以来强网杯、网鼎杯、XCTF联赛和XNUCA联赛等国家级网络安全赛事，获三等奖及以上名次，每提供一个包含个人姓名的比赛获奖证书计1分，最多得4分。 注：须提供响应文件递交截止时间前三个月内任意一个月供应商为人员缴纳社会保险的证明材料加盖供应商公章。</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培训讲师.docx</w:t>
            </w:r>
          </w:p>
        </w:tc>
      </w:tr>
      <w:tr>
        <w:tc>
          <w:tcPr>
            <w:tcW w:type="dxa" w:w="831"/>
            <w:vMerge/>
          </w:tcPr>
          <w:p/>
        </w:tc>
        <w:tc>
          <w:tcPr>
            <w:tcW w:type="dxa" w:w="1661"/>
          </w:tcPr>
          <w:p>
            <w:pPr>
              <w:pStyle w:val="null3"/>
            </w:pPr>
            <w:r>
              <w:rPr>
                <w:rFonts w:ascii="仿宋_GB2312" w:hAnsi="仿宋_GB2312" w:cs="仿宋_GB2312" w:eastAsia="仿宋_GB2312"/>
              </w:rPr>
              <w:t>技术方案</w:t>
            </w:r>
          </w:p>
        </w:tc>
        <w:tc>
          <w:tcPr>
            <w:tcW w:type="dxa" w:w="2492"/>
          </w:tcPr>
          <w:p>
            <w:pPr>
              <w:pStyle w:val="null3"/>
            </w:pPr>
            <w:r>
              <w:rPr>
                <w:rFonts w:ascii="仿宋_GB2312" w:hAnsi="仿宋_GB2312" w:cs="仿宋_GB2312" w:eastAsia="仿宋_GB2312"/>
              </w:rPr>
              <w:t>一、评审内容 供应商结合项目采购需求，提供项目技术方案。内容包含：①技术架构②实战场景覆盖③训练体系。 二、评审标准 1、完整性：方案须全面，对评审内容中的各项要求描述详细； 2、可实施性：切合本项目实际情况，实施步骤清晰、合理； 3、针对性：方案能够紧扣项目实际情况，内容科学合理。 三、赋分依据 ①技术架构：每完全满足一个评审标准得1分，基本满足得0.5分，不能满足的不得分，满分3分。 ②实战场景覆盖：每完全满足一个评审标准得1分，基本满足得0.5分，不能满足的不得分，满分3分。 ③训练体系：每完全满足一个评审标准得1分，基本满足得0.5分，不能满足的不得分，满分3分。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一、评审内容 供应商结合项目采购需求，提供项目实施方案。内容包含：①实施阶段划分②实施流程及节点③项目团队其他人员配备。 二、评审标准 1、完整性：方案须全面，对评审内容中的各项要求描述详细； 2、可实施性：切合本项目实际情况，实施步骤清晰、合理； 3、针对性：方案能够紧扣项目实际情况，内容科学合理。 三、赋分依据 ①实施阶段划分：每完全满足一个评审标准得1分，基本满足得0.5分，不能满足的不得分，满分3分。 ②实施流程及节点：每完全满足一个评审标准得1分，基本满足得0.5分，不能满足的不得分，满分3分。 ③项目团队其他人员配备：每完全满足一个评审标准得1分，基本满足得0.5分，不能满足的不得分，满分3分。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服务质量保障措施</w:t>
            </w:r>
          </w:p>
        </w:tc>
        <w:tc>
          <w:tcPr>
            <w:tcW w:type="dxa" w:w="2492"/>
          </w:tcPr>
          <w:p>
            <w:pPr>
              <w:pStyle w:val="null3"/>
            </w:pPr>
            <w:r>
              <w:rPr>
                <w:rFonts w:ascii="仿宋_GB2312" w:hAnsi="仿宋_GB2312" w:cs="仿宋_GB2312" w:eastAsia="仿宋_GB2312"/>
              </w:rPr>
              <w:t>一、评审内容 供应商结合项目采购需求，提供服务质量保障措施。内容包含：①技术支持响应时效②售后培训更新方案③运维保障能力。 二、评审标准 1、完整性：方案须全面，对评审内容中的各项要求描述详细； 2、可实施性：切合本项目实际情况，实施步骤清晰、合理； 3、针对性：方案能够紧扣项目实际情况，内容科学合理。 三、赋分依据 ①技术支持响应时效：每完全满足一个评审标准得1分，基本满足得0.5分，不能满足的不得分，满分3分。 ②售后培训更新方案：每完全满足一个评审标准得1分，基本满足得0.5分，不能满足的不得分，满分3分。 ③运维保障能力：每完全满足一个评审标准得1分，基本满足得0.5分，不能满足的不得分，满分3分。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服务质量保障措施.docx</w:t>
            </w:r>
          </w:p>
        </w:tc>
      </w:tr>
      <w:tr>
        <w:tc>
          <w:tcPr>
            <w:tcW w:type="dxa" w:w="831"/>
            <w:vMerge/>
          </w:tcPr>
          <w:p/>
        </w:tc>
        <w:tc>
          <w:tcPr>
            <w:tcW w:type="dxa" w:w="1661"/>
          </w:tcPr>
          <w:p>
            <w:pPr>
              <w:pStyle w:val="null3"/>
            </w:pPr>
            <w:r>
              <w:rPr>
                <w:rFonts w:ascii="仿宋_GB2312" w:hAnsi="仿宋_GB2312" w:cs="仿宋_GB2312" w:eastAsia="仿宋_GB2312"/>
              </w:rPr>
              <w:t>项目管理方案</w:t>
            </w:r>
          </w:p>
        </w:tc>
        <w:tc>
          <w:tcPr>
            <w:tcW w:type="dxa" w:w="2492"/>
          </w:tcPr>
          <w:p>
            <w:pPr>
              <w:pStyle w:val="null3"/>
            </w:pPr>
            <w:r>
              <w:rPr>
                <w:rFonts w:ascii="仿宋_GB2312" w:hAnsi="仿宋_GB2312" w:cs="仿宋_GB2312" w:eastAsia="仿宋_GB2312"/>
              </w:rPr>
              <w:t>一、评审内容 供应商结合项目采购需求，提供项目管理方案。内容包含：①人员管理、人员稳定性保障措施②保密管理、安全管理措施。 二、评审标准 1、完整性：方案须全面，对评审内容中的各项要求描述详细； 2、可实施性：切合本项目实际情况，实施步骤清晰、合理； 3、针对性：方案能够紧扣项目实际情况，内容科学合理。 三、赋分依据 ①人员管理、人员稳定性保障措施：每完全满足一个评审标准得1分，基本满足得0.5分，不能满足的不得分，满分3分。 ②保密管理、安全管理措施：每完全满足一个评审标准得1分，基本满足得0.5分，不能满足的不得分，满分3分。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项目管理方案.docx</w:t>
            </w:r>
          </w:p>
        </w:tc>
      </w:tr>
      <w:tr>
        <w:tc>
          <w:tcPr>
            <w:tcW w:type="dxa" w:w="831"/>
            <w:vMerge/>
          </w:tcPr>
          <w:p/>
        </w:tc>
        <w:tc>
          <w:tcPr>
            <w:tcW w:type="dxa" w:w="1661"/>
          </w:tcPr>
          <w:p>
            <w:pPr>
              <w:pStyle w:val="null3"/>
            </w:pPr>
            <w:r>
              <w:rPr>
                <w:rFonts w:ascii="仿宋_GB2312" w:hAnsi="仿宋_GB2312" w:cs="仿宋_GB2312" w:eastAsia="仿宋_GB2312"/>
              </w:rPr>
              <w:t>培训计划</w:t>
            </w:r>
          </w:p>
        </w:tc>
        <w:tc>
          <w:tcPr>
            <w:tcW w:type="dxa" w:w="2492"/>
          </w:tcPr>
          <w:p>
            <w:pPr>
              <w:pStyle w:val="null3"/>
            </w:pPr>
            <w:r>
              <w:rPr>
                <w:rFonts w:ascii="仿宋_GB2312" w:hAnsi="仿宋_GB2312" w:cs="仿宋_GB2312" w:eastAsia="仿宋_GB2312"/>
              </w:rPr>
              <w:t>一、评审内容 针对培训要求提供培训计划，为采购人培训操作维护人员，以保障使用过程中能熟练操作、维护和正常使用，培训方案内容包含①培训内容及方式②培训计划安排。 二、评审标准 1、完整性：方案须全面，对评审内容中的各项要求有详细描述； 2、可实施性：切合本项目实际情况，实施步骤清晰、合理； 3、针对性：方案能够紧扣项目实际情况，内容科学合理。 三、赋分标准 ①培训内容及方式：每完全满足一个评审标准得0.5分，满分1.5分；未提供不得分； ②培训计划安排：每完全满足一个评审标准得0.5分，满分1.5分；未提供不得分。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培训计划.docx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供应商自2022年12月1日至今同类项目业绩（以签订合同时间为准），每提供一份合格业绩证明得1分，最高得5分。 备注：须提供完整合同业绩复印件并加盖供应商公章。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有效供应商的最低报价（落实政府采购政策进行价格调整的，以调整后的价格计算）为基准价得30分，其他各供应商的报价得分按下列公式计算：（基准价/投标报价）×30％×100。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详见附件：服务响应.docx</w:t>
      </w:r>
    </w:p>
    <w:p>
      <w:pPr>
        <w:pStyle w:val="null3"/>
        <w:ind w:firstLine="960"/>
      </w:pPr>
      <w:r>
        <w:rPr>
          <w:rFonts w:ascii="仿宋_GB2312" w:hAnsi="仿宋_GB2312" w:cs="仿宋_GB2312" w:eastAsia="仿宋_GB2312"/>
        </w:rPr>
        <w:t>详见附件：项目经理.docx</w:t>
      </w:r>
    </w:p>
    <w:p>
      <w:pPr>
        <w:pStyle w:val="null3"/>
        <w:ind w:firstLine="960"/>
      </w:pPr>
      <w:r>
        <w:rPr>
          <w:rFonts w:ascii="仿宋_GB2312" w:hAnsi="仿宋_GB2312" w:cs="仿宋_GB2312" w:eastAsia="仿宋_GB2312"/>
        </w:rPr>
        <w:t>详见附件：培训讲师.docx</w:t>
      </w:r>
    </w:p>
    <w:p>
      <w:pPr>
        <w:pStyle w:val="null3"/>
        <w:ind w:firstLine="960"/>
      </w:pPr>
      <w:r>
        <w:rPr>
          <w:rFonts w:ascii="仿宋_GB2312" w:hAnsi="仿宋_GB2312" w:cs="仿宋_GB2312" w:eastAsia="仿宋_GB2312"/>
        </w:rPr>
        <w:t>详见附件：技术方案.docx</w:t>
      </w:r>
    </w:p>
    <w:p>
      <w:pPr>
        <w:pStyle w:val="null3"/>
        <w:ind w:firstLine="960"/>
      </w:pPr>
      <w:r>
        <w:rPr>
          <w:rFonts w:ascii="仿宋_GB2312" w:hAnsi="仿宋_GB2312" w:cs="仿宋_GB2312" w:eastAsia="仿宋_GB2312"/>
        </w:rPr>
        <w:t>详见附件：实施方案.docx</w:t>
      </w:r>
    </w:p>
    <w:p>
      <w:pPr>
        <w:pStyle w:val="null3"/>
        <w:ind w:firstLine="960"/>
      </w:pPr>
      <w:r>
        <w:rPr>
          <w:rFonts w:ascii="仿宋_GB2312" w:hAnsi="仿宋_GB2312" w:cs="仿宋_GB2312" w:eastAsia="仿宋_GB2312"/>
        </w:rPr>
        <w:t>详见附件：服务质量保障措施.docx</w:t>
      </w:r>
    </w:p>
    <w:p>
      <w:pPr>
        <w:pStyle w:val="null3"/>
        <w:ind w:firstLine="960"/>
      </w:pPr>
      <w:r>
        <w:rPr>
          <w:rFonts w:ascii="仿宋_GB2312" w:hAnsi="仿宋_GB2312" w:cs="仿宋_GB2312" w:eastAsia="仿宋_GB2312"/>
        </w:rPr>
        <w:t>详见附件：项目管理方案.docx</w:t>
      </w:r>
    </w:p>
    <w:p>
      <w:pPr>
        <w:pStyle w:val="null3"/>
        <w:ind w:firstLine="960"/>
      </w:pPr>
      <w:r>
        <w:rPr>
          <w:rFonts w:ascii="仿宋_GB2312" w:hAnsi="仿宋_GB2312" w:cs="仿宋_GB2312" w:eastAsia="仿宋_GB2312"/>
        </w:rPr>
        <w:t>详见附件：培训计划.docx</w:t>
      </w:r>
    </w:p>
    <w:p>
      <w:pPr>
        <w:pStyle w:val="null3"/>
        <w:ind w:firstLine="960"/>
      </w:pPr>
      <w:r>
        <w:rPr>
          <w:rFonts w:ascii="仿宋_GB2312" w:hAnsi="仿宋_GB2312" w:cs="仿宋_GB2312" w:eastAsia="仿宋_GB2312"/>
        </w:rPr>
        <w:t>详见附件：业绩.docx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