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版本号：SCIT-ZC-SX2025120001.20251211001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改善办学基本条件项目-综合体能训练中心环境改善项目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SCIT-ZC-SX2025120001.</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改善办学基本条件项目-综合体能训练中心环境改善项目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SCIT-ZC-SX2025120001.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改善办学基本条件项目-综合体能训练中心环境改善项目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体院馆空调改造，具体详见磋商文件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需具备机电安装专业二级（含二级）以上注册建造师证书及安全考核合格证，在本单位注册且无在建工程，无不良记录(无在建提供相关证明材料或承诺函)：拟派项目经理需具备机电安装专业二级（含二级）以上注册建造师证书及安全考核合格证，在本单位注册且无在建工程，无不良记录(无在建提供相关证明材料或承诺函)；供应商需在项目电子化交易系统中按要求上传相应证明文件并进行电子签章；</w:t>
      </w:r>
    </w:p>
    <w:p>
      <w:pPr>
        <w:pStyle w:val="null3"/>
      </w:pPr>
      <w:r>
        <w:rPr>
          <w:rFonts w:ascii="仿宋_GB2312" w:hAnsi="仿宋_GB2312" w:cs="仿宋_GB2312" w:eastAsia="仿宋_GB2312"/>
        </w:rPr>
        <w:t>2、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3、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4、供应商须具备建设行政主管部门颁发合法有效的机电工程施工总承包三级（含）以上资质或 建筑机电安装工程专业承包三级（含）以上资质，同时具备有效的企业安全生产许可证。：供应商须具备建设行政主管部门颁发合法有效的机电工程施工总承包三级（含）以上资质或 建筑机电安装工程专业承包三级（含）以上资质，同时具备有效的企业安全生产许可证。供应商需在项目电子化交易系统中按要求上传相应证明文件并进行电子签章。</w:t>
      </w:r>
    </w:p>
    <w:p>
      <w:pPr>
        <w:pStyle w:val="null3"/>
      </w:pPr>
      <w:r>
        <w:rPr>
          <w:rFonts w:ascii="仿宋_GB2312" w:hAnsi="仿宋_GB2312" w:cs="仿宋_GB2312" w:eastAsia="仿宋_GB2312"/>
        </w:rPr>
        <w:t>5、省外企业须为“陕西省建筑市场监管与诚信信息一体化平台”备案企业；：省外企业须为“陕西省建筑市场监管与诚信信息一体化平台”备案企业；供应商需在项目电子化交易系统中按要求上传相应证明文件并进行电子签章</w:t>
      </w:r>
    </w:p>
    <w:p>
      <w:pPr>
        <w:pStyle w:val="null3"/>
      </w:pPr>
      <w:r>
        <w:rPr>
          <w:rFonts w:ascii="仿宋_GB2312" w:hAnsi="仿宋_GB2312" w:cs="仿宋_GB2312" w:eastAsia="仿宋_GB2312"/>
        </w:rPr>
        <w:t>6、本项目不接受联合体：本项目不接受联合体，供应商以联合体参与的将被拒绝。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郝丽鹏、刘江媚、谭逸哲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029-88854271转8010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采购包1：2,438,670.81元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空调器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混凝土</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银行账号：9902001837309317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说明：履约保证金缴纳时间：中标/成交后七日内需要缴纳履约保证金。未在规定时间内缴纳履约保证金视为拒签合同，自动放弃中标/成交资格。 履约保证金缴纳形式：采用银行对公转账、电汇或者金融机构、担保机构出具的保函等非现金的形式对公形式缴纳。履约保证金的退还：项目验收合格后，履约保证金自动转为质量保证金，缺陷责任期结束后30个日历日内，无质量问题且不存在争议，一次性无息退还至中标/成交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作为计算基数,50万以下定额6000元；50万以上以成交金额作为计算基数,参照国家计委计价[2002]1980号及发改办价格[2003]857号通知规定标准的85%计取支付，由成交人在领取成交通知书前向招标代理机构交纳招标服务费。招标代理服务费支付方式：银行转账或现金方式. 开户名称：四川国际招标有限责任公司陕西分公司 开户银行：中国民生银行股份有限公司西安高新开发区支行 银行账号：9902001837309317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踏勘时间：2025-12-19 10:00:00</w:t>
            </w:r>
          </w:p>
          <w:p>
            <w:pPr>
              <w:pStyle w:val="null3"/>
              <w:ind w:firstLine="975"/>
            </w:pPr>
            <w:r>
              <w:rPr>
                <w:rFonts w:ascii="仿宋_GB2312" w:hAnsi="仿宋_GB2312" w:cs="仿宋_GB2312" w:eastAsia="仿宋_GB2312"/>
              </w:rPr>
              <w:t>踏勘地点：陕西学前师范学院长安校区南门口</w:t>
            </w:r>
          </w:p>
          <w:p>
            <w:pPr>
              <w:pStyle w:val="null3"/>
              <w:ind w:firstLine="975"/>
            </w:pPr>
            <w:r>
              <w:rPr>
                <w:rFonts w:ascii="仿宋_GB2312" w:hAnsi="仿宋_GB2312" w:cs="仿宋_GB2312" w:eastAsia="仿宋_GB2312"/>
              </w:rPr>
              <w:t>联系人：谭老师、郝老师</w:t>
            </w:r>
          </w:p>
          <w:p>
            <w:pPr>
              <w:pStyle w:val="null3"/>
              <w:ind w:firstLine="975"/>
            </w:pPr>
            <w:r>
              <w:rPr>
                <w:rFonts w:ascii="仿宋_GB2312" w:hAnsi="仿宋_GB2312" w:cs="仿宋_GB2312" w:eastAsia="仿宋_GB2312"/>
              </w:rPr>
              <w:t>联系电话号码：029-88854271-8003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以磋商文件、响应文件、合同为准。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联系人：郝丽鹏、刘江媚</w:t>
      </w:r>
    </w:p>
    <w:p>
      <w:pPr>
        <w:pStyle w:val="null3"/>
      </w:pPr>
      <w:r>
        <w:rPr>
          <w:rFonts w:ascii="仿宋_GB2312" w:hAnsi="仿宋_GB2312" w:cs="仿宋_GB2312" w:eastAsia="仿宋_GB2312"/>
        </w:rPr>
        <w:t>联系电话：029-88854271转8010</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2,438,670.81</w:t>
      </w:r>
    </w:p>
    <w:p>
      <w:pPr>
        <w:pStyle w:val="null3"/>
      </w:pPr>
      <w:r>
        <w:rPr>
          <w:rFonts w:ascii="仿宋_GB2312" w:hAnsi="仿宋_GB2312" w:cs="仿宋_GB2312" w:eastAsia="仿宋_GB2312"/>
        </w:rPr>
        <w:t>采购包最高限价（元）: 2,438,670.81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体育馆空调改造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2,438,670.81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标的名称：体育馆空调改造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满足国家和行业现行技术规范，符合国家及行业验收合格标准，质量要求均为合格。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 完工时间： 合同签订后 50个日历日内竣工并交付验收； 3.3.2 验收 ： 3.3.2.1 采购人组织安排验收，成交供应商提供工程量清单以及图纸配合验收工作。 3.3.2.2验收标准：（一）投标人提供的设备要求：自出厂日期当月起 2 年内的全新设备。（二）货物到达采购人指定地点后，采购人根据合同要求，进行外观验收，确认规格、型号和数量。双方须在约定的时间和地点共同开箱检验。（三）货物安装、调试并正常运行后，由成交供应商进行自检，自检合格后能够正常使用时通知采购人。采购人确认成交供应商的自检内容后，由采购人组织，严格按照政府采购相关法律法规和《财政部关于进一步加强政府采购需求和履约验收管理的指导意见》(财库〔2016〕205 号)，行业标准及政府采购合同规定的技术、服务、安全标准进行验收。（四）验收合格后，填写验收单作为对货物的最终认可。（五）成交供应商向采购人提交货物实施过程中的所有资料，以便采购人日后管理和维护。（六）若合同设备外箱包装受损、包装箱件数不符、设备有质量或技术问题，成交供应商应按照采购人要求，采取补足、更换或退货处理措施，并承担由此发生的一切损失和费用。 3.3.3付款方式： 3.3.3.1 款项结算：在付款前，必须开具全额增值税专用发票交付采购人。 3.3.3.2 付款方式：合同签订后支付合同金额的40%，验收合格并决算审计后支付剩余金额； 3.3.4 履约保证金： 本采购包履约保证金为合同金额的3.0% 3.3.4.1履约保证金缴纳时间：中标/成交后七日内需要缴纳履约保证金。未在规定时间内缴纳履约保证金视为拒签合同，自动放弃中标/成交资格。 3.3.4.2履约保证金缴纳形式：采用银行对公转账、电汇或者金融机构、担保机构出具的保函等非现金的形式对公形式缴纳。 3.3.4.3履约保证金的退还：项目验收合格后，履约保证金自动转为质量保证金，缺陷责任期结束后30个日历日内，无质量问题且不存在争议，一次性无息退还至中标/成交人账户。 3.3.5缺陷责任期：验收合格后2 年，工程整体质量保修期按照各个部分工程的国家标准执行，质保期内年检及维保费用由供应商承担，自验收合格之日起计算，若供应商承诺多于质保要求的，则按其承诺，保修期内须提供24小时内的紧急维修服务。质量保修范围和保修期：（一）自验收合格之日起，空调类原厂质保至少2年。提供永久的技术咨询、服务和备品备件。（二）成交供应商需列出主要部件部品清单及核心部件价格，质保期内若主要配件故障，更换后配件的质保期从更换之日起重新计算。（三）质保期过后只收取配件费用，免服务费。（四）在质保期内的工作应包括对所有常规检查、调整和润滑。保修期间，成交供应商每三个月对系统进行一次总体检测，每半年对系统进行一次复调，保修期后为采购人提供一套完整的运行记录。具体的操作程序和内容须在投标时说明。（五）在质保期满时，成交供应商工程师和采购人代表对机组进行再一次测试，任何故障须由成交供应商自费解决并取得采购人的认可。 3.3.6施工要求： （一）安全生产、文明施工（安装）与环境保护要求:（二）在项目安装、调试实施期间为确保安装作业区域及周围环境的整洁和不影响其他活动正常进行，成交供应商应严格执行国家有关安全文明施工（安装）管理的法律、法规和政策，积极主动加强和落实安全文明施工（安装）及环境保护等有关管理工作，并按规定承担相应的费用。成交供应商若违反规定野蛮施工、违章作业等原因造成的一切损失和责任由成交供应商承担。（三）成交供应商在项目供货、安装实施期间，必须遵守国家各项有关安全作业规章、规范与制度，安全用电等制度，确保杜绝各类事故的发生。（四）成交供应商现场设备安装负责人应具有特种作业操作证，安装人员必须持证上岗。中标单位应对设备安装、调试期间自身和第三方安全与财产负责。（五）成交供应商在组织项目实施时必须按安装施工计划协调好现场施工（安装）工作，在项目验收合格移交前对到场货物承担保管责任，如有损坏由成交供应商负责赔偿。成交供应商在项目实施期间必须保护好施工区域内的环境和原有建筑、装饰与设施，保证环境和原有建筑、装饰与设施完好。（六）各供应商在响应文件中要结合本项目的特点和采购人上述的具体要求制定相应的安全文明施工（安装）和安全生产管理措施，同时应当考虑购买自己员工和第三方责任保险，并将此费用纳入报价中，工程建设过程中所发生的安全事故、人身财产损害或对第三方造成的财产均由成交供应商承担。 注：商务要求和其他要求不允许负偏离。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2023或2024年度经审计的财务报告复印件（包含审计报告和审计报告中所涉及的财务报表和报表附注），②也可提供截至响应文件递交截止日一年内银行出具的资信证明（复印件），③供应商注册时间截至响应文件递交截止日不足一年的，也可提供加盖工商备案主管部门印章的公司章程复印件，④也可提供政府采购信用担保机构出具的《政府采购投标担保函》｝ 4.具有依法缴纳税收和社会保障资金的良好记录（①社会保障资金缴纳证明：提供2024年9月1日至今已缴存的任一月份的社会保障资金缴存单据或社保机构开具的社会保险参保缴费情况证明，依法不需要缴纳社会保障资金的供应商应提供相关文件证明； ）；②提供2024年9月1日至今已缴纳的至少一个月的纳税证明或完税证明，依法免税的单位应提供相关证明材料；）；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截至响应文件递交截止日一年内银行出具的资信证明（复印件），③供应商注册时间截至响应文件递交截止日不足一年的，也可提供加盖工商备案主管部门印章的公司章程复印件，④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拟派项目经理需具备机电安装专业二级（含二级）以上注册建造师证书及安全考核合格证，在本单位注册且无在建工程，无不良记录(无在建提供相关证明材料或承诺函)</w:t>
            </w:r>
          </w:p>
        </w:tc>
        <w:tc>
          <w:tcPr>
            <w:tcW w:type="dxa" w:w="3322"/>
          </w:tcPr>
          <w:p>
            <w:pPr>
              <w:pStyle w:val="null3"/>
            </w:pPr>
            <w:r>
              <w:rPr>
                <w:rFonts w:ascii="仿宋_GB2312" w:hAnsi="仿宋_GB2312" w:cs="仿宋_GB2312" w:eastAsia="仿宋_GB2312"/>
              </w:rPr>
              <w:t>拟派项目经理需具备机电安装专业二级（含二级）以上注册建造师证书及安全考核合格证，在本单位注册且无在建工程，无不良记录(无在建提供相关证明材料或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供应商须具备建设行政主管部门颁发合法有效的机电工程施工总承包三级（含）以上资质或 建筑机电安装工程专业承包三级（含）以上资质，同时具备有效的企业安全生产许可证。</w:t>
            </w:r>
          </w:p>
        </w:tc>
        <w:tc>
          <w:tcPr>
            <w:tcW w:type="dxa" w:w="3322"/>
          </w:tcPr>
          <w:p>
            <w:pPr>
              <w:pStyle w:val="null3"/>
            </w:pPr>
            <w:r>
              <w:rPr>
                <w:rFonts w:ascii="仿宋_GB2312" w:hAnsi="仿宋_GB2312" w:cs="仿宋_GB2312" w:eastAsia="仿宋_GB2312"/>
              </w:rPr>
              <w:t>供应商须具备建设行政主管部门颁发合法有效的机电工程施工总承包三级（含）以上资质或 建筑机电安装工程专业承包三级（含）以上资质，同时具备有效的企业安全生产许可证。供应商需在项目电子化交易系统中按要求上传相应证明文件并进行电子签章。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省外企业须为“陕西省建筑市场监管与诚信信息一体化平台”备案企业；</w:t>
            </w:r>
          </w:p>
        </w:tc>
        <w:tc>
          <w:tcPr>
            <w:tcW w:type="dxa" w:w="3322"/>
          </w:tcPr>
          <w:p>
            <w:pPr>
              <w:pStyle w:val="null3"/>
            </w:pPr>
            <w:r>
              <w:rPr>
                <w:rFonts w:ascii="仿宋_GB2312" w:hAnsi="仿宋_GB2312" w:cs="仿宋_GB2312" w:eastAsia="仿宋_GB2312"/>
              </w:rPr>
              <w:t>省外企业须为“陕西省建筑市场监管与诚信信息一体化平台”备案企业；供应商需在项目电子化交易系统中按要求上传相应证明文件并进行电子签章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本项目不接受联合体，供应商以联合体参与的将被拒绝。</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法定代表人授权书.docx 响应文件封面 项目管理机构组成表 残疾人福利性单位声明函 报价函 标的清单 供应商类似项目业绩一览表 响应函 主要人员简历表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（4）属于竞争性磋商文件中无效响应情形的；（5）未按规定缴纳磋商保证金的；（6）未标价的工程量清单。</w:t>
            </w:r>
          </w:p>
        </w:tc>
        <w:tc>
          <w:tcPr>
            <w:tcW w:type="dxa" w:w="3322"/>
          </w:tcPr>
          <w:p>
            <w:pPr>
              <w:pStyle w:val="null3"/>
            </w:pPr>
            <w:r>
              <w:rPr>
                <w:rFonts w:ascii="仿宋_GB2312" w:hAnsi="仿宋_GB2312" w:cs="仿宋_GB2312" w:eastAsia="仿宋_GB2312"/>
              </w:rPr>
              <w:t>（1）响应文件组成明显不符合采购文件的规定要求，影响磋商小组评判的；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 （4）属于竞争性磋商文件中无效响应情形的；（5）未按规定缴纳磋商保证金的；（6）未标价的工程量清单。</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空调报价表.docx 法定代表人授权书.docx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根据供应商提供的本项目施工方案①施工工艺②施工方法③技术措施进行综合打分，完全响应得9分 ；方案中每有一项内容缺失扣3分，方案内容要素中每存在一处缺陷扣0.5分，该分项分值扣完为止。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机械配置方案</w:t>
            </w:r>
          </w:p>
        </w:tc>
        <w:tc>
          <w:tcPr>
            <w:tcW w:type="dxa" w:w="2492"/>
          </w:tcPr>
          <w:p>
            <w:pPr>
              <w:pStyle w:val="null3"/>
            </w:pPr>
            <w:r>
              <w:rPr>
                <w:rFonts w:ascii="仿宋_GB2312" w:hAnsi="仿宋_GB2312" w:cs="仿宋_GB2312" w:eastAsia="仿宋_GB2312"/>
              </w:rPr>
              <w:t>根据供应商提供的 机械配置方案①施工所需机械设备清单② 设备配备③劳保用品配置措施进行综合打分，完全响应得6分 ；方案中每有一项内容缺失扣2分，方案内容要素中每存在一处缺陷扣0.5分，该分项分值扣完为止。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供应商提供针对本项目的人员配备方案，包含①项目成员配备科学规范及劳动力保障措施 ②人员组成结构及人员的服务技术能力③配备人员资质经验合理性综合评审，完全响应得9分；方案中每有一项内容缺失扣3分，方案内容要素中每存在一处缺陷扣0.5分，该分项分值扣完为止。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质量管理方案</w:t>
            </w:r>
          </w:p>
        </w:tc>
        <w:tc>
          <w:tcPr>
            <w:tcW w:type="dxa" w:w="2492"/>
          </w:tcPr>
          <w:p>
            <w:pPr>
              <w:pStyle w:val="null3"/>
            </w:pPr>
            <w:r>
              <w:rPr>
                <w:rFonts w:ascii="仿宋_GB2312" w:hAnsi="仿宋_GB2312" w:cs="仿宋_GB2312" w:eastAsia="仿宋_GB2312"/>
              </w:rPr>
              <w:t>供应商提供针对本项目的质量管理方案包含：①质量管理体系、②质量保证措施，完全响应得6分 ；方案中每有一项内容缺失扣3分，方案内容要素中每存在一处缺陷扣0.5分，该分项分值扣完为止。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根据供应商提供的①安全管理体系与措施②安全文明施工措施③安全教育及培训计划④安全防护措施等进行综合评审：完全响应得6分 ；方案中每有一项内容缺失扣1.5分，方案内容要素中每存在一处缺陷扣0.5分，该分项分值扣完为止。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供应商提供针对本项目的工期及进度安排计划包含：①保证项目工期实施措施，②施工进度表或施工网络节点表措施，③出现特殊情况的应急预案进行综合评审：完全响应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提供针对本项目的环保方案，包含：①环境保护管理体系与措施②污染物处理及排放符合国家及地方环境保护标准响应措施；③现场扬尘预防措施进行综合评审：完全响应得6分；方案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根据供应商2022年01月01日至磋商响应截止时间同类业绩，每提供一份有效合同得1分，最高得10分。 注：需提供合同复印件及发票。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对供应商提供的售后服务方案，包括①承诺维修响应时间②售后人员配置③工程质保承诺方案等进行综合评定：完全响应得9分 ；方案中每有一项内容缺失扣3分，方案内容要素中每存在一处缺陷扣0.5分，该分项分值扣完为止。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最终最低有效报价得30分。以本次最终最低有效报价为基准价，报价得分=(磋商基准价÷最终有效磋商报价)×价格权值×100。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详见附件：空调报价表.docx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详见附件：施工工程类合同模板.docx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