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版本号：HCXM-CS-2511-0520251211001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陕西省2025年省级政务应用系统信创整合技术咨询服务项目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HCXM-CS-2511-05</w:t>
      </w:r>
      <w:r>
        <w:br/>
      </w:r>
      <w:r>
        <w:br/>
      </w:r>
      <w:r>
        <w:br/>
      </w:r>
    </w:p>
    <w:p>
      <w:pPr>
        <w:pStyle w:val="null3"/>
        <w:jc w:val="center"/>
        <w:outlineLvl w:val="2"/>
      </w:pPr>
      <w:r>
        <w:rPr>
          <w:rFonts w:ascii="仿宋_GB2312" w:hAnsi="仿宋_GB2312" w:cs="仿宋_GB2312" w:eastAsia="仿宋_GB2312"/>
          <w:sz w:val="28"/>
          <w:b/>
        </w:rPr>
        <w:t>陕西省数据和政务服务局</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陕西省数据和政务服务局</w:t>
      </w:r>
      <w:r>
        <w:rPr>
          <w:rFonts w:ascii="仿宋_GB2312" w:hAnsi="仿宋_GB2312" w:cs="仿宋_GB2312" w:eastAsia="仿宋_GB2312"/>
        </w:rPr>
        <w:t>委托，拟对</w:t>
      </w:r>
      <w:r>
        <w:rPr>
          <w:rFonts w:ascii="仿宋_GB2312" w:hAnsi="仿宋_GB2312" w:cs="仿宋_GB2312" w:eastAsia="仿宋_GB2312"/>
        </w:rPr>
        <w:t>陕西省2025年省级政务应用系统信创整合技术咨询服务项目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HCXM-CS-2511-05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陕西省2025年省级政务应用系统信创整合技术咨询服务项目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旨在按照数字政府建设2.0架构的发展趋势，为统筹推进省级政务应用系统信创适配整合迁移工作，计划引入第三方专业咨询服务机构，协助开展数字政府2.0框架研究、系统效能评估、应用场景清单梳理、信创技术服务等有关工作。（具体要求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1、本项目的特定资格要求：1、营业执照：供应商为合法注册的法人或其他组织或自然人，提供营业执照（或事业法人证）；自然人提供身份证明； 2、法定代表人授权书/身份证明书:法定代表人直接参与投标的，须递交《法定代表人身份证明书》和身份证复印件。法定代表人授权代表参加投标的，须递交《法定代表人授权委托书》及授权代表身份证复印件及投标前一个月的（不含投标当月）由投标供应商缴纳社保证明材料的复印件； 3、说明及承诺：具备履行合同所必须的设备和专业技术能力的说明及承诺； 4、声明：供应商在近三年经营活动中没有重大违法记录的声明； 5、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 6、税收缴纳证明：税收缴纳证明：供应商提供已缴纳的2025年01月01日至今至少一个月的纳税证明或完税证明（任意税种，时间以税款所属日期为准）证明应有税务机关或代收机关的公章或业务专用章）；依法免税的单位应提供相关文件证明； 7、社会保障资金缴纳证明：社会保障资金缴纳证明：供应商提供已缴存的2024年01月01日至今至少一个月的社会保障资金缴存单据或社保机构开具的社会保险参保缴费情况证明，依法不需要缴纳社会保障资金的单位应提供相关证明材料； 8、信誉截图：供应商不得为“信用中国”网站（www.creditchina.gov.cn）中列入失信被执行人和重大税收违法失信主体的供应商，不得为中国政府采购网（www.ccgp.gov.cn）政府采购严重违法失信行为记录名单中被财政部门禁止参加政府采购活动的供应商； 9、本项目不接受联合体磋商：本项目不接受联合体磋商（提供非联合体承诺书）。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陕西省数据和政务服务局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陕西省西安市新城区新城大院45号楼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029-63919571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开户银行：中国建设银行西安高新科技支行</w:t>
            </w:r>
          </w:p>
          <w:p>
            <w:pPr>
              <w:pStyle w:val="null3"/>
            </w:pPr>
            <w:r>
              <w:rPr>
                <w:rFonts w:ascii="仿宋_GB2312" w:hAnsi="仿宋_GB2312" w:cs="仿宋_GB2312" w:eastAsia="仿宋_GB2312"/>
              </w:rPr>
              <w:t>银行账号：6105 0192 5700 0000 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成交人在领取中标通知书时，向汇成项目管理有限公司交纳招标代理服务费。服务费收费标准参照原《国家计委关于印发&lt;招标代理服务收费管理暂行办法&gt;的通知》(计价格〔2002〕1980号)、《国家发展改革委办公厅关于招标代理服务收费有关问题的通知》（发改价格[2003]857号）规定执行。 服务费账户信息： 户名：汇成项目管理有限公司 账号：6105 0192 5700 0000 0294 开户行：中国建设银行西安高新科技支行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陕西省数据和政务服务局</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陕西省数据和政务服务局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陕西省数据和政务服务局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以竞争性磋商文件和最终签订合同为准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按照数字政府建设2.0架构的发展趋势，为统筹推进省级政务应用系统信创适配整合迁移工作，计划引入第三方专业咨询服务机构，协助开展数字政府2.0框架研究、系统效能评估、应用场景清单梳理、信创技术服务等有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2,198,000.00</w:t>
      </w:r>
    </w:p>
    <w:p>
      <w:pPr>
        <w:pStyle w:val="null3"/>
      </w:pPr>
      <w:r>
        <w:rPr>
          <w:rFonts w:ascii="仿宋_GB2312" w:hAnsi="仿宋_GB2312" w:cs="仿宋_GB2312" w:eastAsia="仿宋_GB2312"/>
        </w:rPr>
        <w:t>采购包最高限价（元）: 2,198,000.00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一、采购项目名称：</w:t>
            </w:r>
            <w:r>
              <w:rPr>
                <w:rFonts w:ascii="仿宋_GB2312" w:hAnsi="仿宋_GB2312" w:cs="仿宋_GB2312" w:eastAsia="仿宋_GB2312"/>
                <w:sz w:val="22"/>
              </w:rPr>
              <w:t>陕西省</w:t>
            </w:r>
            <w:r>
              <w:rPr>
                <w:rFonts w:ascii="仿宋_GB2312" w:hAnsi="仿宋_GB2312" w:cs="仿宋_GB2312" w:eastAsia="仿宋_GB2312"/>
                <w:sz w:val="22"/>
              </w:rPr>
              <w:t>2025年省级政务应用系统信创整合技术咨询服务项目</w:t>
            </w:r>
          </w:p>
          <w:p>
            <w:pPr>
              <w:pStyle w:val="null3"/>
              <w:jc w:val="both"/>
            </w:pPr>
            <w:r>
              <w:rPr>
                <w:rFonts w:ascii="仿宋_GB2312" w:hAnsi="仿宋_GB2312" w:cs="仿宋_GB2312" w:eastAsia="仿宋_GB2312"/>
                <w:sz w:val="22"/>
                <w:b/>
              </w:rPr>
              <w:t>二、项目概况</w:t>
            </w:r>
          </w:p>
          <w:p>
            <w:pPr>
              <w:pStyle w:val="null3"/>
              <w:ind w:firstLine="442"/>
              <w:jc w:val="both"/>
            </w:pPr>
            <w:r>
              <w:rPr>
                <w:rFonts w:ascii="仿宋_GB2312" w:hAnsi="仿宋_GB2312" w:cs="仿宋_GB2312" w:eastAsia="仿宋_GB2312"/>
                <w:sz w:val="22"/>
                <w:b/>
              </w:rPr>
              <w:t>（一）项目背景</w:t>
            </w:r>
          </w:p>
          <w:p>
            <w:pPr>
              <w:pStyle w:val="null3"/>
              <w:ind w:firstLine="440"/>
              <w:jc w:val="both"/>
            </w:pPr>
            <w:r>
              <w:rPr>
                <w:rFonts w:ascii="仿宋_GB2312" w:hAnsi="仿宋_GB2312" w:cs="仿宋_GB2312" w:eastAsia="仿宋_GB2312"/>
                <w:sz w:val="22"/>
              </w:rPr>
              <w:t>本项目旨在按照数字政府建设</w:t>
            </w:r>
            <w:r>
              <w:rPr>
                <w:rFonts w:ascii="仿宋_GB2312" w:hAnsi="仿宋_GB2312" w:cs="仿宋_GB2312" w:eastAsia="仿宋_GB2312"/>
                <w:sz w:val="22"/>
              </w:rPr>
              <w:t>2.0架构的发展趋势，</w:t>
            </w:r>
            <w:r>
              <w:rPr>
                <w:rFonts w:ascii="仿宋_GB2312" w:hAnsi="仿宋_GB2312" w:cs="仿宋_GB2312" w:eastAsia="仿宋_GB2312"/>
                <w:sz w:val="21"/>
              </w:rPr>
              <w:t>为统筹推进省级政务应用系统信创适配整合迁移工作，</w:t>
            </w:r>
            <w:r>
              <w:rPr>
                <w:rFonts w:ascii="仿宋_GB2312" w:hAnsi="仿宋_GB2312" w:cs="仿宋_GB2312" w:eastAsia="仿宋_GB2312"/>
                <w:sz w:val="22"/>
              </w:rPr>
              <w:t>计划引入第三方专业咨询服务机构，协助开展</w:t>
            </w:r>
            <w:r>
              <w:rPr>
                <w:rFonts w:ascii="仿宋_GB2312" w:hAnsi="仿宋_GB2312" w:cs="仿宋_GB2312" w:eastAsia="仿宋_GB2312"/>
                <w:sz w:val="22"/>
              </w:rPr>
              <w:t>数字政府</w:t>
            </w:r>
            <w:r>
              <w:rPr>
                <w:rFonts w:ascii="仿宋_GB2312" w:hAnsi="仿宋_GB2312" w:cs="仿宋_GB2312" w:eastAsia="仿宋_GB2312"/>
                <w:sz w:val="22"/>
              </w:rPr>
              <w:t>2.0框架研究、系统效能评估、应用场景清单梳理、信创</w:t>
            </w:r>
            <w:r>
              <w:rPr>
                <w:rFonts w:ascii="仿宋_GB2312" w:hAnsi="仿宋_GB2312" w:cs="仿宋_GB2312" w:eastAsia="仿宋_GB2312"/>
                <w:sz w:val="22"/>
              </w:rPr>
              <w:t>技术服务</w:t>
            </w:r>
            <w:r>
              <w:rPr>
                <w:rFonts w:ascii="仿宋_GB2312" w:hAnsi="仿宋_GB2312" w:cs="仿宋_GB2312" w:eastAsia="仿宋_GB2312"/>
                <w:sz w:val="22"/>
              </w:rPr>
              <w:t>等</w:t>
            </w:r>
            <w:r>
              <w:rPr>
                <w:rFonts w:ascii="仿宋_GB2312" w:hAnsi="仿宋_GB2312" w:cs="仿宋_GB2312" w:eastAsia="仿宋_GB2312"/>
                <w:sz w:val="22"/>
              </w:rPr>
              <w:t>有关</w:t>
            </w:r>
            <w:r>
              <w:rPr>
                <w:rFonts w:ascii="仿宋_GB2312" w:hAnsi="仿宋_GB2312" w:cs="仿宋_GB2312" w:eastAsia="仿宋_GB2312"/>
                <w:sz w:val="22"/>
              </w:rPr>
              <w:t>工作</w:t>
            </w:r>
            <w:r>
              <w:rPr>
                <w:rFonts w:ascii="仿宋_GB2312" w:hAnsi="仿宋_GB2312" w:cs="仿宋_GB2312" w:eastAsia="仿宋_GB2312"/>
                <w:sz w:val="22"/>
              </w:rPr>
              <w:t>。</w:t>
            </w:r>
          </w:p>
          <w:p>
            <w:pPr>
              <w:pStyle w:val="null3"/>
              <w:ind w:firstLine="442"/>
              <w:jc w:val="both"/>
            </w:pPr>
            <w:r>
              <w:rPr>
                <w:rFonts w:ascii="仿宋_GB2312" w:hAnsi="仿宋_GB2312" w:cs="仿宋_GB2312" w:eastAsia="仿宋_GB2312"/>
                <w:sz w:val="22"/>
                <w:b/>
              </w:rPr>
              <w:t>（二）服务内容</w:t>
            </w:r>
          </w:p>
          <w:p>
            <w:pPr>
              <w:pStyle w:val="null3"/>
              <w:ind w:firstLine="440"/>
              <w:jc w:val="both"/>
            </w:pPr>
            <w:r>
              <w:rPr>
                <w:rFonts w:ascii="仿宋_GB2312" w:hAnsi="仿宋_GB2312" w:cs="仿宋_GB2312" w:eastAsia="仿宋_GB2312"/>
                <w:sz w:val="22"/>
              </w:rPr>
              <w:t>1.数字政府2.0框架研究：通过调查研究国内先进经验，梳理分析我省数字政府建设现状、主要问题和存在短板，提出我省数字政府建设2.0框架建议。</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1）对标分析</w:t>
            </w:r>
          </w:p>
          <w:p>
            <w:pPr>
              <w:pStyle w:val="null3"/>
              <w:ind w:firstLine="440"/>
              <w:jc w:val="both"/>
            </w:pPr>
            <w:r>
              <w:rPr>
                <w:rFonts w:ascii="仿宋_GB2312" w:hAnsi="仿宋_GB2312" w:cs="仿宋_GB2312" w:eastAsia="仿宋_GB2312"/>
                <w:sz w:val="22"/>
              </w:rPr>
              <w:t>调查研究先进省份最新的数字政府建设框架、主要内容、核心指标、管理机制和经验做法。按照《陕西省数字政府建设行动方案》的任务要求，针对数字政府重点领域建设情况进行调查，采集、汇总、比对、统计有关数据，对标国内先进经验，梳理分析我省数字政府建设现状、主要问题和存在短板。</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2）框架设计</w:t>
            </w:r>
          </w:p>
          <w:p>
            <w:pPr>
              <w:pStyle w:val="null3"/>
              <w:ind w:firstLine="440"/>
              <w:jc w:val="both"/>
            </w:pPr>
            <w:r>
              <w:rPr>
                <w:rFonts w:ascii="仿宋_GB2312" w:hAnsi="仿宋_GB2312" w:cs="仿宋_GB2312" w:eastAsia="仿宋_GB2312"/>
                <w:sz w:val="22"/>
              </w:rPr>
              <w:t>编制《陕西省数字政府建设</w:t>
            </w:r>
            <w:r>
              <w:rPr>
                <w:rFonts w:ascii="仿宋_GB2312" w:hAnsi="仿宋_GB2312" w:cs="仿宋_GB2312" w:eastAsia="仿宋_GB2312"/>
                <w:sz w:val="22"/>
              </w:rPr>
              <w:t>2.0总体框架建议》，研究提出整体框架、主要任务、重点领域、迭代要求、核心指标等建议，并结合智能化发展要求，对应用系统效能评估指标提出优化建议。</w:t>
            </w:r>
          </w:p>
          <w:p>
            <w:pPr>
              <w:pStyle w:val="null3"/>
              <w:ind w:firstLine="440"/>
              <w:jc w:val="both"/>
            </w:pPr>
            <w:r>
              <w:rPr>
                <w:rFonts w:ascii="仿宋_GB2312" w:hAnsi="仿宋_GB2312" w:cs="仿宋_GB2312" w:eastAsia="仿宋_GB2312"/>
                <w:sz w:val="22"/>
              </w:rPr>
              <w:t>2.系统效能评估服务：通过系统数据采集和系统数据分析，评估系统运行情况和系统效能发挥水平，编制系统评估报告，为全省政务应用系统信创适配整合迁移、应用场景迭代升级、系统功能改造提供决策依据，切实提高财政资金使用效益。</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1）系统数据采集服务</w:t>
            </w:r>
          </w:p>
          <w:p>
            <w:pPr>
              <w:pStyle w:val="null3"/>
              <w:ind w:firstLine="440"/>
              <w:jc w:val="both"/>
            </w:pPr>
            <w:r>
              <w:rPr>
                <w:rFonts w:ascii="仿宋_GB2312" w:hAnsi="仿宋_GB2312" w:cs="仿宋_GB2312" w:eastAsia="仿宋_GB2312"/>
                <w:sz w:val="22"/>
              </w:rPr>
              <w:t>按照评估方法和指标，结合政务应用系统特点和属性，编制省级部门政务应用系统的调研清单和数据采集清单，制定政务应用系统现场评估计划。综合运用上门调研、日志采集、问卷调查、系统核查、电话核准等多种方法，跨平台采集政务应用系统效能评估所需的各类数据，涵盖资源使用、集约建设、数据共享、网络安全、用户应用效果及业务应用效果等多个维度。</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2）系统数据分析服务</w:t>
            </w:r>
          </w:p>
          <w:p>
            <w:pPr>
              <w:pStyle w:val="null3"/>
              <w:ind w:firstLine="440"/>
              <w:jc w:val="both"/>
            </w:pPr>
            <w:r>
              <w:rPr>
                <w:rFonts w:ascii="仿宋_GB2312" w:hAnsi="仿宋_GB2312" w:cs="仿宋_GB2312" w:eastAsia="仿宋_GB2312"/>
                <w:sz w:val="22"/>
              </w:rPr>
              <w:t>预处理标准化。组织技术团队完成所采集数据的内容汇总，采用异常值处理、缺失值填充、数据归一化等方式开展数据预处理，对于异常数据经系统核查或电话核准后进行修正，对于少量缺项数据采用均值填充或数据归一化处理，形成完整的系统效能评估基础数据底账。</w:t>
            </w:r>
          </w:p>
          <w:p>
            <w:pPr>
              <w:pStyle w:val="null3"/>
              <w:ind w:firstLine="440"/>
              <w:jc w:val="both"/>
            </w:pPr>
            <w:r>
              <w:rPr>
                <w:rFonts w:ascii="仿宋_GB2312" w:hAnsi="仿宋_GB2312" w:cs="仿宋_GB2312" w:eastAsia="仿宋_GB2312"/>
                <w:sz w:val="22"/>
              </w:rPr>
              <w:t>多维效能建模。定量指标按照效能评估指标体系及权重分配，开展数据分析与计算。为确保各指标分值的合理性，根据指标的不同特性按照实现度赋分、贡献度赋分、排名度赋分、标杆值赋分等方式赋予相应的权重分值。评估采用计分制，按评估指标总得分排序。评估结果按得分评级为优秀、良好、一般、较差四种，分别给出建议推广复用、建议继续提升、建议限期整改等。</w:t>
            </w:r>
          </w:p>
          <w:p>
            <w:pPr>
              <w:pStyle w:val="null3"/>
              <w:ind w:firstLine="440"/>
              <w:jc w:val="both"/>
            </w:pPr>
            <w:r>
              <w:rPr>
                <w:rFonts w:ascii="仿宋_GB2312" w:hAnsi="仿宋_GB2312" w:cs="仿宋_GB2312" w:eastAsia="仿宋_GB2312"/>
                <w:sz w:val="22"/>
              </w:rPr>
              <w:t>可视化呈现。采用柱状图、雷达图、效能热力图等方式展示指标达成情况，并将重点问题标注影响范围与紧急程度。</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3）系统评估报告编制服务</w:t>
            </w:r>
          </w:p>
          <w:p>
            <w:pPr>
              <w:pStyle w:val="null3"/>
              <w:ind w:firstLine="440"/>
              <w:jc w:val="both"/>
            </w:pPr>
            <w:r>
              <w:rPr>
                <w:rFonts w:ascii="仿宋_GB2312" w:hAnsi="仿宋_GB2312" w:cs="仿宋_GB2312" w:eastAsia="仿宋_GB2312"/>
                <w:sz w:val="22"/>
              </w:rPr>
              <w:t>根据数据分析与计算结果，结合部门数字化建设总体设计核心业务条线，对照我省数字政府建设规划要求，提出</w:t>
            </w:r>
            <w:r>
              <w:rPr>
                <w:rFonts w:ascii="仿宋_GB2312" w:hAnsi="仿宋_GB2312" w:cs="仿宋_GB2312" w:eastAsia="仿宋_GB2312"/>
                <w:sz w:val="22"/>
              </w:rPr>
              <w:t>“清理、整合、保留”意见建议，编制评估报告摘要、评估概述、评估目的、评估原则、总体评估结果、数字政府建设领域分析、应用维度功能维度分析、部门维度分析、问题诊断、优化建议等内容，形成初步评估报告及相关附件，协助组织专家论证后形成《2025年省级政务应用系统效能评估报告》《XX省级部门政务应用系统效能评估报告》。</w:t>
            </w:r>
          </w:p>
          <w:p>
            <w:pPr>
              <w:pStyle w:val="null3"/>
              <w:ind w:firstLine="440"/>
              <w:jc w:val="both"/>
            </w:pPr>
            <w:r>
              <w:rPr>
                <w:rFonts w:ascii="仿宋_GB2312" w:hAnsi="仿宋_GB2312" w:cs="仿宋_GB2312" w:eastAsia="仿宋_GB2312"/>
                <w:sz w:val="22"/>
              </w:rPr>
              <w:t>结合评估分析结果，提出疑似</w:t>
            </w:r>
            <w:r>
              <w:rPr>
                <w:rFonts w:ascii="仿宋_GB2312" w:hAnsi="仿宋_GB2312" w:cs="仿宋_GB2312" w:eastAsia="仿宋_GB2312"/>
                <w:sz w:val="22"/>
              </w:rPr>
              <w:t>“僵尸”“空壳”系统清单、系统运维资金建议，为清理整合、场景迭代升级、系统功能改造、运维资金安排和基础资源保障等工作的评审决策提供重要依据。</w:t>
            </w:r>
          </w:p>
          <w:p>
            <w:pPr>
              <w:pStyle w:val="null3"/>
              <w:ind w:firstLine="440"/>
              <w:jc w:val="both"/>
            </w:pPr>
            <w:r>
              <w:rPr>
                <w:rFonts w:ascii="仿宋_GB2312" w:hAnsi="仿宋_GB2312" w:cs="仿宋_GB2312" w:eastAsia="仿宋_GB2312"/>
                <w:sz w:val="22"/>
              </w:rPr>
              <w:t>3.应用场景清单服务：在广泛调研国内实践经验和省内建设现状分析的基础上，提出全省应用场景建设建议。</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1）整理国内实践经验</w:t>
            </w:r>
          </w:p>
          <w:p>
            <w:pPr>
              <w:pStyle w:val="null3"/>
              <w:ind w:firstLine="440"/>
              <w:jc w:val="both"/>
            </w:pPr>
            <w:r>
              <w:rPr>
                <w:rFonts w:ascii="仿宋_GB2312" w:hAnsi="仿宋_GB2312" w:cs="仿宋_GB2312" w:eastAsia="仿宋_GB2312"/>
                <w:sz w:val="22"/>
              </w:rPr>
              <w:t>综合采用网络信息采集、集中考察、学习交流等方式，整理国家、国内先进省份的经济调节、市场监管、公共服务、社会治理、生态保护、政府运行等六大领域的场景清单，分析各场景的业务创新、实施路径和机制保障等经验做法，形成年度省级数字政务应用场景清单建议。</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2）“五维”找场景建设切口</w:t>
            </w:r>
          </w:p>
          <w:p>
            <w:pPr>
              <w:pStyle w:val="null3"/>
              <w:ind w:firstLine="440"/>
              <w:jc w:val="both"/>
            </w:pPr>
            <w:r>
              <w:rPr>
                <w:rFonts w:ascii="仿宋_GB2312" w:hAnsi="仿宋_GB2312" w:cs="仿宋_GB2312" w:eastAsia="仿宋_GB2312"/>
                <w:sz w:val="22"/>
              </w:rPr>
              <w:t>在系统效能评估基础上，从数字政府建设短板问题、履职痛点、用户诉求、多跨协同、数据利用等五个维度，以国家有要求、省内有安排、部门有需求、各地有经验为标准，梳理当前政务数字化建设的</w:t>
            </w:r>
            <w:r>
              <w:rPr>
                <w:rFonts w:ascii="仿宋_GB2312" w:hAnsi="仿宋_GB2312" w:cs="仿宋_GB2312" w:eastAsia="仿宋_GB2312"/>
                <w:sz w:val="22"/>
              </w:rPr>
              <w:t>“小切口”问题、“一件事”服务、“一类事”业务、多跨协同、共性应用等场景需求，形成《年度省级数字政务场景需求分析报告》，研究下一年度数字政府建设的核心需求、重点方向和主要任务。</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3）制定共性应用清单</w:t>
            </w:r>
          </w:p>
          <w:p>
            <w:pPr>
              <w:pStyle w:val="null3"/>
              <w:ind w:firstLine="440"/>
              <w:jc w:val="both"/>
            </w:pPr>
            <w:r>
              <w:rPr>
                <w:rFonts w:ascii="仿宋_GB2312" w:hAnsi="仿宋_GB2312" w:cs="仿宋_GB2312" w:eastAsia="仿宋_GB2312"/>
                <w:sz w:val="22"/>
              </w:rPr>
              <w:t>比对分析部门数字化建设总体设计、信创适配整合迁移计划、数字资源管理平台系统编目信息和省级数字政务场景需求等内容，梳理存量省级政务应用系统的同类功能，分析整合各级各部门数字化履职的共性需求，按照技术统建、业务统筹的有关规则，论证共性系统功能跨层级向市县延伸的业务和技术可行性，形成符合</w:t>
            </w:r>
            <w:r>
              <w:rPr>
                <w:rFonts w:ascii="仿宋_GB2312" w:hAnsi="仿宋_GB2312" w:cs="仿宋_GB2312" w:eastAsia="仿宋_GB2312"/>
                <w:sz w:val="22"/>
              </w:rPr>
              <w:t>“省级统建”“省级统筹”模式的全省共性应用场景系统清单建议，用于指导各级各部门共享共用数字化建设成果，避免同类政务应用系统的重复建设。</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4）编制场景“总清单”</w:t>
            </w:r>
          </w:p>
          <w:p>
            <w:pPr>
              <w:pStyle w:val="null3"/>
              <w:ind w:firstLine="440"/>
              <w:jc w:val="both"/>
            </w:pPr>
            <w:r>
              <w:rPr>
                <w:rFonts w:ascii="仿宋_GB2312" w:hAnsi="仿宋_GB2312" w:cs="仿宋_GB2312" w:eastAsia="仿宋_GB2312"/>
                <w:sz w:val="22"/>
              </w:rPr>
              <w:t>面向各省级部门和信息化企业，发布年度场景需求清单，征集解决方案，经专家对场景解决方案的业务合理性、技术可行性、应用创新性进行综合论证，综合考量场景的紧急程度、预期成效、示范效应，选定优先建设场景，形成经济调节、市场监管、公共服务、社会治理、生态保护、政府运行等六大领域创新应用场景的年度应用场景建设</w:t>
            </w:r>
            <w:r>
              <w:rPr>
                <w:rFonts w:ascii="仿宋_GB2312" w:hAnsi="仿宋_GB2312" w:cs="仿宋_GB2312" w:eastAsia="仿宋_GB2312"/>
                <w:sz w:val="22"/>
              </w:rPr>
              <w:t>“总清单”建议。</w:t>
            </w:r>
          </w:p>
          <w:p>
            <w:pPr>
              <w:pStyle w:val="null3"/>
              <w:ind w:firstLine="440"/>
              <w:jc w:val="both"/>
            </w:pPr>
            <w:r>
              <w:rPr>
                <w:rFonts w:ascii="仿宋_GB2312" w:hAnsi="仿宋_GB2312" w:cs="仿宋_GB2312" w:eastAsia="仿宋_GB2312"/>
                <w:sz w:val="22"/>
              </w:rPr>
              <w:t>4.信创任务咨询服务：提供信创适配整合迁移技术服务，通过编制相关技术规范文件，面向省级部门和地市提供信创技术咨询服务，提出信创整合建议，组织场景建设牵头部门逐一技术交流，支持部门在信创适配整合迁移项目中，落实数字化应用场景“总清单”建设任务，支撑形成高质量项目库</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1）编制信创适配建设指南</w:t>
            </w:r>
          </w:p>
          <w:p>
            <w:pPr>
              <w:pStyle w:val="null3"/>
              <w:ind w:firstLine="440"/>
              <w:jc w:val="both"/>
            </w:pPr>
            <w:r>
              <w:rPr>
                <w:rFonts w:ascii="仿宋_GB2312" w:hAnsi="仿宋_GB2312" w:cs="仿宋_GB2312" w:eastAsia="仿宋_GB2312"/>
                <w:sz w:val="22"/>
              </w:rPr>
              <w:t>按照《陕西省省级政务应用系统信创适配整合迁移工作方案》工作要求，编制政务应用系统整合规则、信创适配整合迁移实施指南及技术要求、信创适配整合迁移实施方案编制指南等技术规范，着力强化全省信创适配整合迁移工作的技术支撑能力。</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2）信创技术咨询服务</w:t>
            </w:r>
          </w:p>
          <w:p>
            <w:pPr>
              <w:pStyle w:val="null3"/>
              <w:ind w:firstLine="440"/>
              <w:jc w:val="both"/>
            </w:pPr>
            <w:r>
              <w:rPr>
                <w:rFonts w:ascii="仿宋_GB2312" w:hAnsi="仿宋_GB2312" w:cs="仿宋_GB2312" w:eastAsia="仿宋_GB2312"/>
                <w:sz w:val="22"/>
              </w:rPr>
              <w:t>一是针对各省级部门，采用技术交流、业务座谈、上门辅导和电话、工作群组等在线咨询方式，面向部门参与系统信创适配整合迁移的工作人员提供信创技术咨询服务、支撑部门信创适配整合迁移计划方案编制，协助部门梳理现有存量政务应用系统，建立动态跟踪机制，定期报送进度，协助《</w:t>
            </w:r>
            <w:r>
              <w:rPr>
                <w:rFonts w:ascii="仿宋_GB2312" w:hAnsi="仿宋_GB2312" w:cs="仿宋_GB2312" w:eastAsia="仿宋_GB2312"/>
                <w:sz w:val="22"/>
              </w:rPr>
              <w:t>XX部门政务应用系统信创适配整合迁移计划方案》编制。</w:t>
            </w:r>
          </w:p>
          <w:p>
            <w:pPr>
              <w:pStyle w:val="null3"/>
              <w:ind w:firstLine="440"/>
              <w:jc w:val="both"/>
            </w:pPr>
            <w:r>
              <w:rPr>
                <w:rFonts w:ascii="仿宋_GB2312" w:hAnsi="仿宋_GB2312" w:cs="仿宋_GB2312" w:eastAsia="仿宋_GB2312"/>
                <w:sz w:val="22"/>
              </w:rPr>
              <w:t>二是针对各地市，选派技术专家为</w:t>
            </w:r>
            <w:r>
              <w:rPr>
                <w:rFonts w:ascii="仿宋_GB2312" w:hAnsi="仿宋_GB2312" w:cs="仿宋_GB2312" w:eastAsia="仿宋_GB2312"/>
                <w:sz w:val="22"/>
              </w:rPr>
              <w:t>11个地市（区）提供信创技术咨询服务，解读省级政务应用系统信创适配整合迁移规则，详细讲解信创适配整合迁移的对象范围、系统整合策略、系统整合迁移模式及实施基本步骤，并提供信创适配问题现场答疑，提升地市相关负责人员对规范的理解与应用能力。</w:t>
            </w:r>
          </w:p>
          <w:p>
            <w:pPr>
              <w:pStyle w:val="null3"/>
              <w:ind w:firstLine="440"/>
              <w:jc w:val="both"/>
            </w:pPr>
            <w:r>
              <w:rPr>
                <w:rFonts w:ascii="仿宋_GB2312" w:hAnsi="仿宋_GB2312" w:cs="仿宋_GB2312" w:eastAsia="仿宋_GB2312"/>
                <w:sz w:val="22"/>
              </w:rPr>
              <w:t>三是协助组织审核省级部门信创适配整合迁移计划，主要服务内容包括：部门应用系统调研、比对、查重、合并，形成省级部门存量应用系统比对核查清单；初步审查部门计划方案的资料完备性、要素完整性和编制规范性，根据业务条线整合规则提出系统整合建议，指导部门修改完善计划方案；协助组织专家对计划方案进行论证，综合采用现场查勘、系统访问、功能演示等形式对部门应用系统逐一查看后，审定信创整合迁移策略、省级统建或省级统筹模式、接入省数字政府一体化平台等有关策略、模式、安排、技术路线及可行性。</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3）协助开展适配中心遴选</w:t>
            </w:r>
          </w:p>
          <w:p>
            <w:pPr>
              <w:pStyle w:val="null3"/>
              <w:ind w:firstLine="440"/>
              <w:jc w:val="both"/>
            </w:pPr>
            <w:r>
              <w:rPr>
                <w:rFonts w:ascii="仿宋_GB2312" w:hAnsi="仿宋_GB2312" w:cs="仿宋_GB2312" w:eastAsia="仿宋_GB2312"/>
                <w:sz w:val="22"/>
              </w:rPr>
              <w:t>按照《陕西省数据和政务服务局关于遴选数字政务信创适配中心的通知》（陕数政发〔</w:t>
            </w:r>
            <w:r>
              <w:rPr>
                <w:rFonts w:ascii="仿宋_GB2312" w:hAnsi="仿宋_GB2312" w:cs="仿宋_GB2312" w:eastAsia="仿宋_GB2312"/>
                <w:sz w:val="22"/>
              </w:rPr>
              <w:t>2025〕284号）工作要求，配合研究制定信创适配中心遴选规则，</w:t>
            </w:r>
            <w:r>
              <w:rPr>
                <w:rFonts w:ascii="仿宋_GB2312" w:hAnsi="仿宋_GB2312" w:cs="仿宋_GB2312" w:eastAsia="仿宋_GB2312"/>
                <w:sz w:val="22"/>
              </w:rPr>
              <w:t>提出</w:t>
            </w:r>
            <w:r>
              <w:rPr>
                <w:rFonts w:ascii="仿宋_GB2312" w:hAnsi="仿宋_GB2312" w:cs="仿宋_GB2312" w:eastAsia="仿宋_GB2312"/>
                <w:sz w:val="22"/>
              </w:rPr>
              <w:t>信创适配中心遴选实地考察要点建议。协助组织专家现场核实申报单位管理制度、基础环境、适配资源、人员队伍、业绩成果等有关资料。</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4）场景设计辅导</w:t>
            </w:r>
          </w:p>
          <w:p>
            <w:pPr>
              <w:pStyle w:val="null3"/>
              <w:ind w:firstLine="440"/>
              <w:jc w:val="both"/>
            </w:pPr>
            <w:r>
              <w:rPr>
                <w:rFonts w:ascii="仿宋_GB2312" w:hAnsi="仿宋_GB2312" w:cs="仿宋_GB2312" w:eastAsia="仿宋_GB2312"/>
                <w:sz w:val="22"/>
              </w:rPr>
              <w:t>一是针对年度应用场景建设</w:t>
            </w:r>
            <w:r>
              <w:rPr>
                <w:rFonts w:ascii="仿宋_GB2312" w:hAnsi="仿宋_GB2312" w:cs="仿宋_GB2312" w:eastAsia="仿宋_GB2312"/>
                <w:sz w:val="22"/>
              </w:rPr>
              <w:t>“总清单”建议，逐一分析应用场景的建设内容、建设模式、责任分工和任务要求，梳理与部门现有系统的协同关系，提出迭代升级技术路线和实施路径，并向相关部门提供场景谋划、项目建设的培训宣贯；二是按照场景迭代升级需求，结合信创适配整合工作要求，协助高质量谋划政务信息化项目。</w:t>
            </w:r>
          </w:p>
          <w:p>
            <w:pPr>
              <w:pStyle w:val="null3"/>
              <w:ind w:firstLine="442"/>
              <w:jc w:val="both"/>
            </w:pPr>
            <w:r>
              <w:rPr>
                <w:rFonts w:ascii="仿宋_GB2312" w:hAnsi="仿宋_GB2312" w:cs="仿宋_GB2312" w:eastAsia="仿宋_GB2312"/>
                <w:sz w:val="22"/>
                <w:b/>
              </w:rPr>
              <w:t>（三）</w:t>
            </w:r>
            <w:r>
              <w:rPr>
                <w:rFonts w:ascii="仿宋_GB2312" w:hAnsi="仿宋_GB2312" w:cs="仿宋_GB2312" w:eastAsia="仿宋_GB2312"/>
                <w:sz w:val="22"/>
                <w:b/>
              </w:rPr>
              <w:t>服务要求</w:t>
            </w:r>
          </w:p>
          <w:p>
            <w:pPr>
              <w:pStyle w:val="null3"/>
              <w:ind w:firstLine="440"/>
              <w:jc w:val="both"/>
            </w:pPr>
            <w:r>
              <w:rPr>
                <w:rFonts w:ascii="仿宋_GB2312" w:hAnsi="仿宋_GB2312" w:cs="仿宋_GB2312" w:eastAsia="仿宋_GB2312"/>
                <w:sz w:val="22"/>
              </w:rPr>
              <w:t>1.服务期限：</w:t>
            </w:r>
            <w:r>
              <w:rPr>
                <w:rFonts w:ascii="仿宋_GB2312" w:hAnsi="仿宋_GB2312" w:cs="仿宋_GB2312" w:eastAsia="仿宋_GB2312"/>
                <w:sz w:val="22"/>
              </w:rPr>
              <w:t>至</w:t>
            </w:r>
            <w:r>
              <w:rPr>
                <w:rFonts w:ascii="仿宋_GB2312" w:hAnsi="仿宋_GB2312" w:cs="仿宋_GB2312" w:eastAsia="仿宋_GB2312"/>
                <w:sz w:val="22"/>
              </w:rPr>
              <w:t>202</w:t>
            </w:r>
            <w:r>
              <w:rPr>
                <w:rFonts w:ascii="仿宋_GB2312" w:hAnsi="仿宋_GB2312" w:cs="仿宋_GB2312" w:eastAsia="仿宋_GB2312"/>
                <w:sz w:val="22"/>
              </w:rPr>
              <w:t>6</w:t>
            </w:r>
            <w:r>
              <w:rPr>
                <w:rFonts w:ascii="仿宋_GB2312" w:hAnsi="仿宋_GB2312" w:cs="仿宋_GB2312" w:eastAsia="仿宋_GB2312"/>
                <w:sz w:val="22"/>
              </w:rPr>
              <w:t>年</w:t>
            </w:r>
            <w:r>
              <w:rPr>
                <w:rFonts w:ascii="仿宋_GB2312" w:hAnsi="仿宋_GB2312" w:cs="仿宋_GB2312" w:eastAsia="仿宋_GB2312"/>
                <w:sz w:val="22"/>
              </w:rPr>
              <w:t>6</w:t>
            </w:r>
            <w:r>
              <w:rPr>
                <w:rFonts w:ascii="仿宋_GB2312" w:hAnsi="仿宋_GB2312" w:cs="仿宋_GB2312" w:eastAsia="仿宋_GB2312"/>
                <w:sz w:val="22"/>
              </w:rPr>
              <w:t>月</w:t>
            </w:r>
            <w:r>
              <w:rPr>
                <w:rFonts w:ascii="仿宋_GB2312" w:hAnsi="仿宋_GB2312" w:cs="仿宋_GB2312" w:eastAsia="仿宋_GB2312"/>
                <w:sz w:val="22"/>
              </w:rPr>
              <w:t>3</w:t>
            </w:r>
            <w:r>
              <w:rPr>
                <w:rFonts w:ascii="仿宋_GB2312" w:hAnsi="仿宋_GB2312" w:cs="仿宋_GB2312" w:eastAsia="仿宋_GB2312"/>
                <w:sz w:val="22"/>
              </w:rPr>
              <w:t>0</w:t>
            </w:r>
            <w:r>
              <w:rPr>
                <w:rFonts w:ascii="仿宋_GB2312" w:hAnsi="仿宋_GB2312" w:cs="仿宋_GB2312" w:eastAsia="仿宋_GB2312"/>
                <w:sz w:val="22"/>
              </w:rPr>
              <w:t>日，本项目委托服务期限最终以局确认的完成</w:t>
            </w:r>
            <w:r>
              <w:rPr>
                <w:rFonts w:ascii="仿宋_GB2312" w:hAnsi="仿宋_GB2312" w:cs="仿宋_GB2312" w:eastAsia="仿宋_GB2312"/>
                <w:sz w:val="22"/>
              </w:rPr>
              <w:t>本</w:t>
            </w:r>
            <w:r>
              <w:rPr>
                <w:rFonts w:ascii="仿宋_GB2312" w:hAnsi="仿宋_GB2312" w:cs="仿宋_GB2312" w:eastAsia="仿宋_GB2312"/>
                <w:sz w:val="22"/>
              </w:rPr>
              <w:t>服务内容的时间为限</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2.服务地点：采购人指定服务地点。</w:t>
            </w:r>
          </w:p>
          <w:p>
            <w:pPr>
              <w:pStyle w:val="null3"/>
              <w:ind w:firstLine="440"/>
              <w:jc w:val="both"/>
            </w:pPr>
            <w:r>
              <w:rPr>
                <w:rFonts w:ascii="仿宋_GB2312" w:hAnsi="仿宋_GB2312" w:cs="仿宋_GB2312" w:eastAsia="仿宋_GB2312"/>
                <w:sz w:val="22"/>
              </w:rPr>
              <w:t>3.人员要求：中标人须指派固定的团队为本项目提供驻场服务。</w:t>
            </w:r>
          </w:p>
          <w:p>
            <w:pPr>
              <w:pStyle w:val="null3"/>
              <w:ind w:firstLine="440"/>
              <w:jc w:val="both"/>
            </w:pPr>
            <w:r>
              <w:rPr>
                <w:rFonts w:ascii="仿宋_GB2312" w:hAnsi="仿宋_GB2312" w:cs="仿宋_GB2312" w:eastAsia="仿宋_GB2312"/>
                <w:sz w:val="22"/>
              </w:rPr>
              <w:t>4.服务标准：咨询服务过程应参考《GB/T 42652-2023政府和社会资本合作 咨询服务要求》国家标准执行，评估方法和指标体系应按照政务应用系统效能评估指标、参考《GB/T 42584-2023 信息化项目综合绩效评估规范》等相关国家标准，项目管理过程应参考《GB/T 42994-2023 管理咨询服务指南 项目管理》等相关国家标准执行。</w:t>
            </w:r>
          </w:p>
          <w:p>
            <w:pPr>
              <w:pStyle w:val="null3"/>
              <w:ind w:firstLine="440"/>
              <w:jc w:val="both"/>
            </w:pPr>
            <w:r>
              <w:rPr>
                <w:rFonts w:ascii="仿宋_GB2312" w:hAnsi="仿宋_GB2312" w:cs="仿宋_GB2312" w:eastAsia="仿宋_GB2312"/>
                <w:sz w:val="22"/>
              </w:rPr>
              <w:t>5.项目验收：按照省数据和政务服务局项目验收的有关规定执行，验收依据包括：</w:t>
            </w:r>
          </w:p>
          <w:p>
            <w:pPr>
              <w:pStyle w:val="null3"/>
              <w:ind w:firstLine="440"/>
              <w:jc w:val="both"/>
            </w:pPr>
            <w:r>
              <w:rPr>
                <w:rFonts w:ascii="仿宋_GB2312" w:hAnsi="仿宋_GB2312" w:cs="仿宋_GB2312" w:eastAsia="仿宋_GB2312"/>
                <w:sz w:val="22"/>
              </w:rPr>
              <w:t>1）合同、招标文件、投标文件明确的服务内容；</w:t>
            </w:r>
          </w:p>
          <w:p>
            <w:pPr>
              <w:pStyle w:val="null3"/>
              <w:ind w:firstLine="440"/>
              <w:jc w:val="both"/>
            </w:pPr>
            <w:r>
              <w:rPr>
                <w:rFonts w:ascii="仿宋_GB2312" w:hAnsi="仿宋_GB2312" w:cs="仿宋_GB2312" w:eastAsia="仿宋_GB2312"/>
                <w:sz w:val="22"/>
              </w:rPr>
              <w:t>2）按照合同和根据招标文件所编写的投标文件中相关的全部文档。服务成果以资料汇编形式提交，经局组织相关专家对项目验收合格后，出具验收意见视为验收通过。</w:t>
            </w:r>
          </w:p>
          <w:p>
            <w:pPr>
              <w:pStyle w:val="null3"/>
            </w:pPr>
            <w:r>
              <w:rPr>
                <w:rFonts w:ascii="仿宋_GB2312" w:hAnsi="仿宋_GB2312" w:cs="仿宋_GB2312" w:eastAsia="仿宋_GB2312"/>
                <w:sz w:val="22"/>
              </w:rPr>
              <w:t>本项目各交付物数量会因省级部门信创整合迁移实际工作需求发生变化而出现变动，因此在本项目验收时采取各交付物总量控制的方式。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人员要求：中标人须指派固定的团队为本项目提供驻场服务。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满足竞争性磋商文件和采购人规范标准要求。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满足竞争性磋商文件和采购人规范标准要求。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自合同签订之日起至2026年6月30日，本项目委托服务期限最终以局确认的完成本服务内容的时间为限。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采购人指定服务地点。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验收以合同、招标文件、投标文件、国家相应的标准、规范等为依据。符合合同要求。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第一次合同签订款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第二次终验付款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以竞争性磋商文件和最终签订合同为准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1.投标人须是在中华人民共和国境内注册的法人，须提供合法有效的营业执照或法人证书等证明材料的扫描件或复印件加盖投标人公章。 2.本项目不接受联合体投标，不允许分包、转包。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1、营业执照：供应商为合法注册的法人或其他组织或自然人，提供营业执照（或事业法人证）；自然人提供身份证明； 2、法定代表人授权书/身份证明书:法定代表人直接参与投标的，须递交《法定代表人身份证明书》和身份证复印件。法定代表人授权代表参加投标的，须递交《法定代表人授权委托书》及授权代表身份证复印件及投标前一个月的（不含投标当月）由投标供应商缴纳社保证明材料的复印件； 3、说明及承诺：具备履行合同所必须的设备和专业技术能力的说明及承诺； 4、声明：供应商在近三年经营活动中没有重大违法记录的声明； 5、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 6、税收缴纳证明：税收缴纳证明：供应商提供已缴纳的2025年01月01日至今至少一个月的纳税证明或完税证明（任意税种，时间以税款所属日期为准）证明应有税务机关或代收机关的公章或业务专用章）；依法免税的单位应提供相关文件证明； 7、社会保障资金缴纳证明：社会保障资金缴纳证明：供应商提供已缴存的2024年01月01日至今至少一个月的社会保障资金缴存单据或社保机构开具的社会保险参保缴费情况证明，依法不需要缴纳社会保障资金的单位应提供相关证明材料； 8、信誉截图：供应商不得为“信用中国”网站（www.creditchina.gov.cn）中列入失信被执行人和重大税收违法失信主体的供应商，不得为中国政府采购网（www.ccgp.gov.cn）政府采购严重违法失信行为记录名单中被财政部门禁止参加政府采购活动的供应商； 9、本项目不接受联合体磋商：本项目不接受联合体磋商（提供非联合体承诺书）。</w:t>
            </w:r>
          </w:p>
        </w:tc>
        <w:tc>
          <w:tcPr>
            <w:tcW w:type="dxa" w:w="1661"/>
          </w:tcPr>
          <w:p>
            <w:pPr>
              <w:pStyle w:val="null3"/>
            </w:pPr>
            <w:r>
              <w:rPr>
                <w:rFonts w:ascii="仿宋_GB2312" w:hAnsi="仿宋_GB2312" w:cs="仿宋_GB2312" w:eastAsia="仿宋_GB2312"/>
              </w:rPr>
              <w:t>响应文件封面 非联合体承诺书.docx 中小企业声明函 残疾人福利性单位声明函 拒绝政府采购领域商业贿赂承诺书.docx 供应商应提交的相关资格证明材料 响应函 资格证明文件.docx 监狱企业的证明文件 供应商关联承诺书.docx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符合磋商文件签字盖章的要求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现状及需求分析</w:t>
            </w:r>
          </w:p>
        </w:tc>
        <w:tc>
          <w:tcPr>
            <w:tcW w:type="dxa" w:w="2492"/>
          </w:tcPr>
          <w:p>
            <w:pPr>
              <w:pStyle w:val="null3"/>
            </w:pPr>
            <w:r>
              <w:rPr>
                <w:rFonts w:ascii="仿宋_GB2312" w:hAnsi="仿宋_GB2312" w:cs="仿宋_GB2312" w:eastAsia="仿宋_GB2312"/>
              </w:rPr>
              <w:t>供应商提供针对本项目现状及需求分析，内容包含：①对中省、陕西省数字政府和政务信息化建设有关政策、规划现状的理解；②对本项目的业务现状分析；③对本项目业务需求分析。共3项内容，每项满分4分（共12分）。内容完整，可行性、针对性强，完全满足采购需求，得满分，每有一处内容存在缺陷，扣1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现状及需求分析.docx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的服务方案，方案包含：①服务架构；②服务范围；③服务内容；④服务流程；⑤交付物；共5项内容，每项满分4分（共20分）。内容完整，可行性、针对性强，完全满足采购需求，得满分，每有一处内容存在缺陷，扣1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供应商提供针对本项目实施计划，计划包括：①时间计划；②资源配置计划；③重点环节进度控制。共3项内容，每项满分3分（共9分）。内容完整，可行性、针对性强，完全满足采购需求，得满分，每有一处内容存在缺陷，扣1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实施计划.docx</w:t>
            </w:r>
          </w:p>
        </w:tc>
      </w:tr>
      <w:tr>
        <w:tc>
          <w:tcPr>
            <w:tcW w:type="dxa" w:w="831"/>
            <w:vMerge/>
          </w:tcPr>
          <w:p/>
        </w:tc>
        <w:tc>
          <w:tcPr>
            <w:tcW w:type="dxa" w:w="1661"/>
          </w:tcPr>
          <w:p>
            <w:pPr>
              <w:pStyle w:val="null3"/>
            </w:pPr>
            <w:r>
              <w:rPr>
                <w:rFonts w:ascii="仿宋_GB2312" w:hAnsi="仿宋_GB2312" w:cs="仿宋_GB2312" w:eastAsia="仿宋_GB2312"/>
              </w:rPr>
              <w:t>质量措施</w:t>
            </w:r>
          </w:p>
        </w:tc>
        <w:tc>
          <w:tcPr>
            <w:tcW w:type="dxa" w:w="2492"/>
          </w:tcPr>
          <w:p>
            <w:pPr>
              <w:pStyle w:val="null3"/>
            </w:pPr>
            <w:r>
              <w:rPr>
                <w:rFonts w:ascii="仿宋_GB2312" w:hAnsi="仿宋_GB2312" w:cs="仿宋_GB2312" w:eastAsia="仿宋_GB2312"/>
              </w:rPr>
              <w:t>供应商提供针对本项目质量控制措施，方案包括： ①质量控制方法；②质量措施；③质量控制流程。共3项内容，每项满分3分（共9分）。内容完整，可行性、针对性强，完全满足采购需求，得满分，每有一处内容存在缺陷，扣1分，扣完为止。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质量措施.docx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的保密方案，方案包括：①保密管理制度；②对数据和信息安全保密。共2项内容，每项满分2分（共4分）。内容完整，可行性、针对性强，完全满足采购需求，得满分，每有一处内容存在缺陷，扣1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供应商提供针对本项目组织保障方案，方案包括：①管理组织架构、人员分工；②工作职责划分；③业务管理流程等内容。共3项内容，每项满分2分（共6分）。内容完整，可行性、针对性强，完全满足采购需求，得满分，每有一处内容存在缺陷，扣1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组织保障.docx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项目经理应具备相应的专业技术能力及统筹规划管理能力： ①具有信息系统高级工程师职称资格证书，得2分，未提供不得分；②具有信息系统项目管理师证书，得1分，未提供不得分；③具有咨询工程师（投资）登记证书，得1分，未提供不得分。 备注：须同时提供人员相关证书及在本单位履职的证明材料，并加盖公章，未提供或提供不全不得分。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项目人员及供应商认为有必要补充说明的其他内容.docx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拟投入团队人员（不包含项目负责人）不少于10人，人员需具备以下资格：①具有咨询工程师（投资）证书不少于3人；②具有信息系统项目管理师证书或（信息化或信息系统）高级工程师职称资格证书不少于3人；③具有软件工程造价师证书不少于4人。同一人员不得重复计分，全部满足得5分，每缺1个证书扣1分，扣完为止。 备注：相同人员不重复计分，须同时提供以上人员相关证书及在本单位履职的证明材料，并加盖公章，未提供或提供不全不得分。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项目人员及供应商认为有必要补充说明的其他内容.docx</w:t>
            </w:r>
          </w:p>
        </w:tc>
      </w:tr>
      <w:tr>
        <w:tc>
          <w:tcPr>
            <w:tcW w:type="dxa" w:w="831"/>
            <w:vMerge/>
          </w:tcPr>
          <w:p/>
        </w:tc>
        <w:tc>
          <w:tcPr>
            <w:tcW w:type="dxa" w:w="1661"/>
          </w:tcPr>
          <w:p>
            <w:pPr>
              <w:pStyle w:val="null3"/>
            </w:pPr>
            <w:r>
              <w:rPr>
                <w:rFonts w:ascii="仿宋_GB2312" w:hAnsi="仿宋_GB2312" w:cs="仿宋_GB2312" w:eastAsia="仿宋_GB2312"/>
              </w:rPr>
              <w:t>专家支持</w:t>
            </w:r>
          </w:p>
        </w:tc>
        <w:tc>
          <w:tcPr>
            <w:tcW w:type="dxa" w:w="2492"/>
          </w:tcPr>
          <w:p>
            <w:pPr>
              <w:pStyle w:val="null3"/>
            </w:pPr>
            <w:r>
              <w:rPr>
                <w:rFonts w:ascii="仿宋_GB2312" w:hAnsi="仿宋_GB2312" w:cs="仿宋_GB2312" w:eastAsia="仿宋_GB2312"/>
              </w:rPr>
              <w:t>成立不少于10人专家支持团队，专家具备信息化或数字化领域（副高级及以上相关证明）（满分5分）。 备注：提供专家顾问的证书、聘书或合同，复印件加盖公章。不满足或部分满足要求不得分。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项目人员及供应商认为有必要补充说明的其他内容.docx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1.具有工程咨询单位（业务：电子、信息工程（含通信、广电、信息化））备案证明，有得3分，没有不得分。 2.具有信息安全服务资质认证证书，有得3分，没有不得分。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项目人员及供应商认为有必要补充说明的其他内容.docx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供应商需提供2022年01月01日（日期以签订合同实际为准）至今，承接的同类项目的业绩经验，每提供一份证明材料得1分，最多得10分。 注：提供采购合同复印件并加盖供应商公章。否则不得分。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详见附件：非联合体承诺书.docx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详见附件：实施计划.docx</w:t>
      </w:r>
    </w:p>
    <w:p>
      <w:pPr>
        <w:pStyle w:val="null3"/>
        <w:ind w:firstLine="960"/>
      </w:pPr>
      <w:r>
        <w:rPr>
          <w:rFonts w:ascii="仿宋_GB2312" w:hAnsi="仿宋_GB2312" w:cs="仿宋_GB2312" w:eastAsia="仿宋_GB2312"/>
        </w:rPr>
        <w:t>详见附件：现状及需求分析.docx</w:t>
      </w:r>
    </w:p>
    <w:p>
      <w:pPr>
        <w:pStyle w:val="null3"/>
        <w:ind w:firstLine="960"/>
      </w:pPr>
      <w:r>
        <w:rPr>
          <w:rFonts w:ascii="仿宋_GB2312" w:hAnsi="仿宋_GB2312" w:cs="仿宋_GB2312" w:eastAsia="仿宋_GB2312"/>
        </w:rPr>
        <w:t>详见附件：项目人员及供应商认为有必要补充说明的其他内容.docx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详见附件：质量措施.docx</w:t>
      </w:r>
    </w:p>
    <w:p>
      <w:pPr>
        <w:pStyle w:val="null3"/>
        <w:ind w:firstLine="960"/>
      </w:pPr>
      <w:r>
        <w:rPr>
          <w:rFonts w:ascii="仿宋_GB2312" w:hAnsi="仿宋_GB2312" w:cs="仿宋_GB2312" w:eastAsia="仿宋_GB2312"/>
        </w:rPr>
        <w:t>详见附件：组织保障.docx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