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版本号：HXGJXM2025-ZC-DY102120251212001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主院区复合手术室血管造影机维修服务采购项目(二次)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HXGJXM2025-ZC-DY1021</w:t>
      </w:r>
      <w:r>
        <w:br/>
      </w:r>
      <w:r>
        <w:br/>
      </w:r>
      <w:r>
        <w:br/>
      </w:r>
    </w:p>
    <w:p>
      <w:pPr>
        <w:pStyle w:val="null3"/>
        <w:jc w:val="center"/>
        <w:outlineLvl w:val="5"/>
      </w:pPr>
      <w:r>
        <w:rPr>
          <w:rFonts w:ascii="仿宋_GB2312" w:hAnsi="仿宋_GB2312" w:cs="仿宋_GB2312" w:eastAsia="仿宋_GB2312"/>
          <w:sz w:val="15"/>
          <w:b/>
        </w:rPr>
        <w:t>陕西省人民医院</w:t>
      </w:r>
    </w:p>
    <w:p>
      <w:pPr>
        <w:pStyle w:val="null3"/>
        <w:jc w:val="center"/>
        <w:outlineLvl w:val="5"/>
      </w:pPr>
      <w:r>
        <w:rPr>
          <w:rFonts w:ascii="仿宋_GB2312" w:hAnsi="仿宋_GB2312" w:cs="仿宋_GB2312" w:eastAsia="仿宋_GB2312"/>
          <w:sz w:val="15"/>
          <w:b/>
        </w:rPr>
        <w:t>华夏国际项目管理（西安）有限公司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主院区复合手术室血管造影机维修服务采购项目(二次)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HXGJXM2025-ZC-DY1021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主院区复合手术室血管造影机维修服务采购项目(二次)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主院区复合手术室血管造影机维修服务采购项目。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谈判截止日前一年内在本单位已缴存的至少一个月的社会保障资金凭证）；法定代表人直接参加谈判，须提供法定代表人身份证明。</w:t>
      </w:r>
    </w:p>
    <w:p>
      <w:pPr>
        <w:pStyle w:val="null3"/>
      </w:pPr>
      <w:r>
        <w:rPr>
          <w:rFonts w:ascii="仿宋_GB2312" w:hAnsi="仿宋_GB2312" w:cs="仿宋_GB2312" w:eastAsia="仿宋_GB2312"/>
        </w:rPr>
        <w:t>2、信用记录：供应商未被“信用中国”网站（www.cred 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3、谈判保证金：谈判保证金缴纳凭证或担保机构出具的保函。</w:t>
      </w:r>
    </w:p>
    <w:p>
      <w:pPr>
        <w:pStyle w:val="null3"/>
      </w:pPr>
      <w:r>
        <w:rPr>
          <w:rFonts w:ascii="仿宋_GB2312" w:hAnsi="仿宋_GB2312" w:cs="仿宋_GB2312" w:eastAsia="仿宋_GB2312"/>
        </w:rPr>
        <w:t>4、非联合体：本项目不接受联合体。</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陈老师(采招办）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029-85251331-2323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柴彩珍、陆文科、康敏茹、张艳萍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规定的招标代理服务收费标准，50万元（含）以下项目按照下浮40%进行收取；50万元（不含）以上的项目按照下浮43%进行收取。 开户名称：华夏国际项目管理（西安）有限公司第一分公司 开户银行：中国光大银行股份有限公司西安南二环支行 银行账号：78620188000199459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以采购人实际要求为准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主院区复合手术室血管造影机维修服务采购项目，更换RAID单元。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更换RAID单元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标的名称：更换RAID单元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设备名称：主院区血管造影机</w:t>
            </w:r>
          </w:p>
          <w:p>
            <w:pPr>
              <w:pStyle w:val="null3"/>
              <w:ind w:firstLine="400"/>
              <w:jc w:val="left"/>
            </w:pPr>
            <w:r>
              <w:rPr>
                <w:rFonts w:ascii="仿宋_GB2312" w:hAnsi="仿宋_GB2312" w:cs="仿宋_GB2312" w:eastAsia="仿宋_GB2312"/>
              </w:rPr>
              <w:t>型号：</w:t>
            </w:r>
            <w:r>
              <w:rPr>
                <w:rFonts w:ascii="仿宋_GB2312" w:hAnsi="仿宋_GB2312" w:cs="仿宋_GB2312" w:eastAsia="仿宋_GB2312"/>
              </w:rPr>
              <w:t>INFX-9000C(OR)</w:t>
            </w:r>
          </w:p>
          <w:p>
            <w:pPr>
              <w:pStyle w:val="null3"/>
              <w:ind w:firstLine="400"/>
              <w:jc w:val="left"/>
            </w:pPr>
            <w:r>
              <w:rPr>
                <w:rFonts w:ascii="仿宋_GB2312" w:hAnsi="仿宋_GB2312" w:cs="仿宋_GB2312" w:eastAsia="仿宋_GB2312"/>
              </w:rPr>
              <w:t>序列号：</w:t>
            </w:r>
            <w:r>
              <w:rPr>
                <w:rFonts w:ascii="仿宋_GB2312" w:hAnsi="仿宋_GB2312" w:cs="仿宋_GB2312" w:eastAsia="仿宋_GB2312"/>
              </w:rPr>
              <w:t>CCC20X2006</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w:t>
            </w:r>
            <w:r>
              <w:rPr>
                <w:rFonts w:ascii="仿宋_GB2312" w:hAnsi="仿宋_GB2312" w:cs="仿宋_GB2312" w:eastAsia="仿宋_GB2312"/>
                <w:sz w:val="21"/>
                <w:b/>
              </w:rPr>
              <w:t>故障说明：</w:t>
            </w:r>
            <w:r>
              <w:rPr>
                <w:rFonts w:ascii="仿宋_GB2312" w:hAnsi="仿宋_GB2312" w:cs="仿宋_GB2312" w:eastAsia="仿宋_GB2312"/>
                <w:sz w:val="21"/>
              </w:rPr>
              <w:t>设备报错</w:t>
            </w:r>
            <w:r>
              <w:rPr>
                <w:rFonts w:ascii="仿宋_GB2312" w:hAnsi="仿宋_GB2312" w:cs="仿宋_GB2312" w:eastAsia="仿宋_GB2312"/>
                <w:sz w:val="21"/>
              </w:rPr>
              <w:t>raid error，无法</w:t>
            </w:r>
            <w:r>
              <w:rPr>
                <w:rFonts w:ascii="仿宋_GB2312" w:hAnsi="仿宋_GB2312" w:cs="仿宋_GB2312" w:eastAsia="仿宋_GB2312"/>
                <w:sz w:val="21"/>
              </w:rPr>
              <w:t>曝光，无法数字血管剪影。</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w:t>
            </w:r>
            <w:r>
              <w:rPr>
                <w:rFonts w:ascii="仿宋_GB2312" w:hAnsi="仿宋_GB2312" w:cs="仿宋_GB2312" w:eastAsia="仿宋_GB2312"/>
                <w:sz w:val="21"/>
                <w:b/>
              </w:rPr>
              <w:t>解决方案：</w:t>
            </w:r>
            <w:r>
              <w:rPr>
                <w:rFonts w:ascii="仿宋_GB2312" w:hAnsi="仿宋_GB2312" w:cs="仿宋_GB2312" w:eastAsia="仿宋_GB2312"/>
                <w:sz w:val="21"/>
              </w:rPr>
              <w:t>更换</w:t>
            </w:r>
            <w:r>
              <w:rPr>
                <w:rFonts w:ascii="仿宋_GB2312" w:hAnsi="仿宋_GB2312" w:cs="仿宋_GB2312" w:eastAsia="仿宋_GB2312"/>
                <w:sz w:val="21"/>
              </w:rPr>
              <w:t>RAID单元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四、</w:t>
            </w:r>
            <w:r>
              <w:rPr>
                <w:rFonts w:ascii="仿宋_GB2312" w:hAnsi="仿宋_GB2312" w:cs="仿宋_GB2312" w:eastAsia="仿宋_GB2312"/>
                <w:b/>
              </w:rPr>
              <w:t>需采购配件的名称及型号数量</w:t>
            </w:r>
          </w:p>
          <w:p>
            <w:pPr>
              <w:pStyle w:val="null3"/>
              <w:ind w:firstLine="400"/>
              <w:jc w:val="left"/>
            </w:pPr>
            <w:r>
              <w:rPr>
                <w:rFonts w:ascii="仿宋_GB2312" w:hAnsi="仿宋_GB2312" w:cs="仿宋_GB2312" w:eastAsia="仿宋_GB2312"/>
              </w:rPr>
              <w:t>备件名称：</w:t>
            </w:r>
            <w:r>
              <w:rPr>
                <w:rFonts w:ascii="仿宋_GB2312" w:hAnsi="仿宋_GB2312" w:cs="仿宋_GB2312" w:eastAsia="仿宋_GB2312"/>
              </w:rPr>
              <w:t>RAID磁盘阵列组件</w:t>
            </w:r>
          </w:p>
          <w:p>
            <w:pPr>
              <w:pStyle w:val="null3"/>
              <w:ind w:firstLine="400"/>
              <w:jc w:val="left"/>
            </w:pPr>
            <w:r>
              <w:rPr>
                <w:rFonts w:ascii="仿宋_GB2312" w:hAnsi="仿宋_GB2312" w:cs="仿宋_GB2312" w:eastAsia="仿宋_GB2312"/>
              </w:rPr>
              <w:t>数量：</w:t>
            </w:r>
            <w:r>
              <w:rPr>
                <w:rFonts w:ascii="仿宋_GB2312" w:hAnsi="仿宋_GB2312" w:cs="仿宋_GB2312" w:eastAsia="仿宋_GB2312"/>
              </w:rPr>
              <w:t>1</w:t>
            </w:r>
          </w:p>
          <w:p>
            <w:pPr>
              <w:pStyle w:val="null3"/>
            </w:pPr>
            <w:r>
              <w:rPr>
                <w:rFonts w:ascii="仿宋_GB2312" w:hAnsi="仿宋_GB2312" w:cs="仿宋_GB2312" w:eastAsia="仿宋_GB2312"/>
                <w:sz w:val="21"/>
              </w:rPr>
              <w:t xml:space="preserve">    型号：</w:t>
            </w:r>
            <w:r>
              <w:rPr>
                <w:rFonts w:ascii="仿宋_GB2312" w:hAnsi="仿宋_GB2312" w:cs="仿宋_GB2312" w:eastAsia="仿宋_GB2312"/>
                <w:sz w:val="21"/>
              </w:rPr>
              <w:t>BSX17-4436*A</w:t>
            </w:r>
          </w:p>
          <w:tbl>
            <w:tblPr>
              <w:tblBorders>
                <w:top w:val="none" w:color="000000" w:sz="4"/>
                <w:left w:val="none" w:color="000000" w:sz="4"/>
                <w:bottom w:val="none" w:color="000000" w:sz="4"/>
                <w:right w:val="none" w:color="000000" w:sz="4"/>
                <w:insideH w:val="none"/>
                <w:insideV w:val="none"/>
              </w:tblBorders>
            </w:tblPr>
            <w:tblGrid>
              <w:gridCol w:w="1347"/>
              <w:gridCol w:w="1204"/>
            </w:tblGrid>
            <w:tr>
              <w:tc>
                <w:tcPr>
                  <w:tcW w:type="dxa" w:w="13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Host interface(主机接口）</w:t>
                  </w:r>
                </w:p>
              </w:tc>
              <w:tc>
                <w:tcPr>
                  <w:tcW w:type="dxa" w:w="12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Fibre channel (FC-AL/Fabric)光纤通道（FC-AL/结构）</w:t>
                  </w:r>
                </w:p>
              </w:tc>
            </w:tr>
            <w:tr>
              <w:tc>
                <w:tcPr>
                  <w:tcW w:type="dxa" w:w="1347"/>
                  <w:vMerge/>
                  <w:tcBorders>
                    <w:top w:val="single" w:color="000000" w:sz="4"/>
                    <w:left w:val="single" w:color="000000" w:sz="4"/>
                    <w:bottom w:val="single" w:color="000000" w:sz="4"/>
                    <w:right w:val="single" w:color="000000" w:sz="4"/>
                  </w:tcBorders>
                </w:tcPr>
                <w:p/>
              </w:tc>
              <w:tc>
                <w:tcPr>
                  <w:tcW w:type="dxa" w:w="1204"/>
                  <w:vMerge/>
                  <w:tcBorders>
                    <w:top w:val="single" w:color="000000" w:sz="4"/>
                    <w:left w:val="none" w:color="000000" w:sz="4"/>
                    <w:bottom w:val="single" w:color="000000" w:sz="4"/>
                    <w:right w:val="single" w:color="000000" w:sz="4"/>
                  </w:tcBorders>
                </w:tcP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CONT number per unitper unit（每单位CONT编号）</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1</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Number of host ports per CONTCONT（每个CONT的主机端口数）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1</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Cache memory capacity per unit（每单位缓存容量）</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4 GB</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Number of disk drives（磁盘驱动器数量）</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3</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Disk drive（磁盘驱动器参数)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2.5-inch SAS (10Krpm): 600 GB</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Disk interface（磁盘传输速率）</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SAS: Maximum transfer rate(最大传输速率): 12 Gbps</w:t>
                  </w:r>
                </w:p>
              </w:tc>
            </w:tr>
            <w:tr>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RAID type（矩阵类型）</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RAID-5 ((2D+P)x1)Real RAID (for response assurance)</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自合同签订之日起，乙方开具符合甲方要求的全额发票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中华人民共和国政府采购法》、《中华人民共和国民法典》中的相关条款执行。未按合同或谈判文件要求的或者质量不能满足采购人要求的，采购单位有权终止合同，甚至对供应商违约行为进行追究。供应商的谈判响应文件为签订正式书面合同书不可分割的部分，谈判响应应履行相应的责任。 解决争议的办法：合同执行中发生争议的，当事人双方应协商解决，协商达不成一致时，可向采购人所在地人民法院提请诉讼。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质保期：自验收合格之日起6个月。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 3、提供具有履行合同所必需的设备和专业技术能力的承诺。 4、参加政府采购活动前3年内，在经营活动中没有重大违法记录的书面声明。 5、税收缴纳证明：提供递交响应文件截止之日前一年内任意一个月的依法缴纳税收的完税证明，完税证明应有税务机关或代收机关的公章或业务专用章。依法免税或无须缴纳税收的供应商，应提供相应证明文件。 6、社会保障资金缴纳证明：提供谈判时间前一年内已缴存的至少一个月的社会保障资金缴存单据或社保机构开具的社会保险参保缴费情况证明，依法不需要缴纳社会保障资金的单位应提供相关证明材料。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法定代表人授权书（附法定代表人、被授权人身份证复印件及被授权人谈判截止日前一年内在本单位已缴存的至少一个月的社会保障资金凭证）；法定代表人直接参加谈判，须提供法定代表人身份证明。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 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投标人按照招标文件要求上传谈判响应文件</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产品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投标报价合理性的，评标委员会应当将其谈判响应文件作为无效处理。</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对谈判响应文件进行有效性和符合性审查，出现下列情况之一者，按无效文件处理： 1.谈判供应商未经过正常渠道获取谈判文件，或谈判供应商名称与获取谈判文件时登记的谈判供应商名称不符的； 2.提供的资格证明文件不符合要求； 3.谈判响应文件未按谈判文件要求签署、盖章的； 4.无谈判有效期或有效期达不到谈判文件要求的； 5.未按谈判文件要求提交谈判保证金的； 6.谈判供应商针对同一项目递交两份或多份内容不同的谈判响应文件，未书面声明哪一份是有效的或出现选择性报价的； 7.提供虚假证明 （包括第三方提供的虚假证明），开具虚假资质，出现虚假应答的，除按无效文件处理外，还将按照政府采购的有关规定进行处罚； 8.谈判响应文件含有采购人不能接受的附加条件的； 9.谈判总报价超过谈判文件公布的采购预算的，单价报价超过谈判文件公布的单价最高限价的； 10.法律、法规规定的其他无效情形。</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法定代表人或被授权人的签字或盖章及公章符合谈判文件要求</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对单一来源谈判文件响应程度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谈判方案说明.docx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质保期、服务期限</w:t>
            </w:r>
          </w:p>
        </w:tc>
        <w:tc>
          <w:tcPr>
            <w:tcW w:type="dxa" w:w="3322"/>
          </w:tcPr>
          <w:p>
            <w:pPr>
              <w:pStyle w:val="null3"/>
            </w:pPr>
            <w:r>
              <w:rPr>
                <w:rFonts w:ascii="仿宋_GB2312" w:hAnsi="仿宋_GB2312" w:cs="仿宋_GB2312" w:eastAsia="仿宋_GB2312"/>
              </w:rPr>
              <w:t>应满足谈判文件中要求的质保期、服务期限</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