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452B0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240" w:line="500" w:lineRule="exact"/>
        <w:ind w:left="273" w:leftChars="0"/>
        <w:jc w:val="center"/>
        <w:textAlignment w:val="auto"/>
        <w:outlineLvl w:val="2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  <w:bookmarkStart w:id="0" w:name="_Toc6005"/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其他资料</w:t>
      </w:r>
    </w:p>
    <w:p w14:paraId="103FFB2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240" w:line="360" w:lineRule="auto"/>
        <w:ind w:left="273" w:leftChars="0"/>
        <w:textAlignment w:val="auto"/>
        <w:outlineLvl w:val="2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一、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谈判文件要求的其他证明文件</w:t>
      </w:r>
      <w:bookmarkEnd w:id="0"/>
    </w:p>
    <w:p w14:paraId="67DC1046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560" w:firstLineChars="200"/>
        <w:textAlignment w:val="auto"/>
        <w:outlineLvl w:val="2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val="en-US" w:eastAsia="zh-CN"/>
        </w:rPr>
      </w:pPr>
      <w:bookmarkStart w:id="1" w:name="_Toc16958"/>
      <w:r>
        <w:rPr>
          <w:rFonts w:hint="eastAsia" w:ascii="宋体" w:hAnsi="宋体" w:eastAsia="宋体" w:cs="宋体"/>
          <w:snapToGrid w:val="0"/>
          <w:color w:val="auto"/>
          <w:kern w:val="0"/>
          <w:sz w:val="28"/>
          <w:szCs w:val="28"/>
          <w:lang w:val="en-US" w:eastAsia="zh-CN" w:bidi="ar-SA"/>
        </w:rPr>
        <w:t>1、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val="en-US" w:eastAsia="zh-CN"/>
        </w:rPr>
        <w:t>基本存款账户开户许可证（基本账户信息）。</w:t>
      </w:r>
      <w:bookmarkEnd w:id="1"/>
    </w:p>
    <w:p w14:paraId="6E2DFBBE">
      <w:pPr>
        <w:pStyle w:val="3"/>
        <w:rPr>
          <w:rFonts w:hint="eastAsia"/>
          <w:lang w:eastAsia="zh-CN"/>
        </w:rPr>
      </w:pPr>
    </w:p>
    <w:p w14:paraId="1E5ABABA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560" w:firstLineChars="200"/>
        <w:textAlignment w:val="auto"/>
        <w:outlineLvl w:val="2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</w:pPr>
      <w:bookmarkStart w:id="2" w:name="_Toc29904"/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8"/>
          <w:szCs w:val="28"/>
          <w:lang w:val="en-US" w:eastAsia="en-US" w:bidi="ar-SA"/>
        </w:rPr>
        <w:t>2、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eastAsia="zh-CN"/>
        </w:rPr>
        <w:t>依据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单一来源谈判文件要求，供应商认为有必要说明的其他内容。</w:t>
      </w:r>
      <w:bookmarkEnd w:id="2"/>
      <w:bookmarkStart w:id="3" w:name="_Toc21767"/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如有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）</w:t>
      </w:r>
    </w:p>
    <w:p w14:paraId="7843EEE2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outlineLvl w:val="2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</w:p>
    <w:p w14:paraId="743E076E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outlineLvl w:val="2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二、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其他可以证明谈判供应商实力的证明材料</w:t>
      </w:r>
      <w:bookmarkEnd w:id="3"/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如有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  <w:t>）</w:t>
      </w:r>
    </w:p>
    <w:p w14:paraId="4F0B7627">
      <w:pPr>
        <w:keepNext w:val="0"/>
        <w:keepLines w:val="0"/>
        <w:pageBreakBefore w:val="0"/>
        <w:wordWrap/>
        <w:overflowPunct/>
        <w:topLinePunct w:val="0"/>
        <w:bidi w:val="0"/>
        <w:spacing w:line="360" w:lineRule="auto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</w:p>
    <w:p w14:paraId="65829D32">
      <w:pPr>
        <w:keepNext w:val="0"/>
        <w:keepLines w:val="0"/>
        <w:pageBreakBefore w:val="0"/>
        <w:wordWrap/>
        <w:overflowPunct/>
        <w:topLinePunct w:val="0"/>
        <w:bidi w:val="0"/>
        <w:spacing w:line="360" w:lineRule="auto"/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</w:pPr>
    </w:p>
    <w:p w14:paraId="3D439899">
      <w:bookmarkStart w:id="4" w:name="_GoBack"/>
      <w:bookmarkEnd w:id="4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9C3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toc 2"/>
    <w:basedOn w:val="1"/>
    <w:next w:val="1"/>
    <w:qFormat/>
    <w:uiPriority w:val="0"/>
    <w:pPr>
      <w:widowControl/>
      <w:tabs>
        <w:tab w:val="right" w:leader="dot" w:pos="9060"/>
      </w:tabs>
      <w:spacing w:line="360" w:lineRule="auto"/>
      <w:jc w:val="left"/>
    </w:pPr>
    <w:rPr>
      <w:kern w:val="0"/>
      <w:sz w:val="24"/>
      <w:szCs w:val="24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2025-12-02T11:47:55Z</dcterms:created>
  <dc:creator>Administrator</dc:creator>
  <cp:lastModifiedBy>华夏国际-招标部</cp:lastModifiedBy>
  <dcterms:modified xsi:type="dcterms:W3CDTF">2025-12-02T11:48:03Z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eyJoZGlkIjoiMjc4OWMzYTFiMTY0M2NjNTI4Mjg5YzU2ZjliOThmMjkiLCJ1c2VySWQiOiIxNTQ4NTM4NTMxIn0=</vt:lpwstr>
  </property>
  <property fmtid="{D5CDD505-2E9C-101B-9397-08002B2CF9AE}" pid="4" name="ICV">
    <vt:lpwstr>2CE1900352F4461FBC8DD5184A304906_12</vt:lpwstr>
  </property>
</Properties>
</file>