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版本号：GCZB2025-12-241-W20251212001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陕西省2025年免疫规划信息系统运维项目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GCZB2025-12-241-W</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陕西省2025年免疫规划信息系统运维项目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GCZB2025-12-241-W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陕西省2025年免疫规划信息系统运维项目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陕西省2025年免疫规划信息系统运维项目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029-87397295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联系电话：029-88899363（2290417378@qq.com）</w:t>
      </w:r>
    </w:p>
    <w:p>
      <w:pPr>
        <w:pStyle w:val="null3"/>
      </w:pPr>
      <w:r>
        <w:rPr>
          <w:rFonts w:ascii="仿宋_GB2312" w:hAnsi="仿宋_GB2312" w:cs="仿宋_GB2312" w:eastAsia="仿宋_GB2312"/>
        </w:rPr>
        <w:t>地址：西安市高新区高新一路5号正信大厦A座24楼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陕西省2025年免疫规划信息系统运维项目，1项，具体内容详见采购文件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免疫规划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标的名称：免疫规划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一、技术参数</w:t>
            </w:r>
          </w:p>
          <w:tbl>
            <w:tblPr>
              <w:tblInd w:type="dxa" w:w="135"/>
              <w:tblBorders>
                <w:top w:val="none" w:color="000000" w:sz="4"/>
                <w:left w:val="none" w:color="000000" w:sz="4"/>
                <w:bottom w:val="none" w:color="000000" w:sz="4"/>
                <w:right w:val="none" w:color="000000" w:sz="4"/>
                <w:insideH w:val="none"/>
                <w:insideV w:val="none"/>
              </w:tblBorders>
            </w:tblPr>
            <w:tblGrid>
              <w:gridCol w:w="131"/>
              <w:gridCol w:w="205"/>
              <w:gridCol w:w="290"/>
              <w:gridCol w:w="1681"/>
              <w:gridCol w:w="119"/>
              <w:gridCol w:w="113"/>
            </w:tblGrid>
            <w:tr>
              <w:tc>
                <w:tcPr>
                  <w:tcW w:type="dxa" w:w="131"/>
                  <w:tcBorders>
                    <w:top w:val="singl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序号</w:t>
                  </w:r>
                </w:p>
              </w:tc>
              <w:tc>
                <w:tcPr>
                  <w:tcW w:type="dxa" w:w="205"/>
                  <w:tcBorders>
                    <w:top w:val="singl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系统名称</w:t>
                  </w:r>
                </w:p>
              </w:tc>
              <w:tc>
                <w:tcPr>
                  <w:tcW w:type="dxa" w:w="290"/>
                  <w:tcBorders>
                    <w:top w:val="singl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系统功能</w:t>
                  </w:r>
                </w:p>
              </w:tc>
              <w:tc>
                <w:tcPr>
                  <w:tcW w:type="dxa" w:w="1681"/>
                  <w:tcBorders>
                    <w:top w:val="singl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功能参数</w:t>
                  </w:r>
                </w:p>
              </w:tc>
              <w:tc>
                <w:tcPr>
                  <w:tcW w:type="dxa" w:w="119"/>
                  <w:tcBorders>
                    <w:top w:val="singl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数量</w:t>
                  </w:r>
                </w:p>
              </w:tc>
              <w:tc>
                <w:tcPr>
                  <w:tcW w:type="dxa" w:w="113"/>
                  <w:tcBorders>
                    <w:top w:val="singl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单位</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1</w:t>
                  </w:r>
                </w:p>
              </w:tc>
              <w:tc>
                <w:tcPr>
                  <w:tcW w:type="dxa" w:w="205"/>
                  <w:vMerge w:val="restart"/>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center"/>
                  </w:pPr>
                  <w:r>
                    <w:rPr>
                      <w:rFonts w:ascii="仿宋_GB2312" w:hAnsi="仿宋_GB2312" w:cs="仿宋_GB2312" w:eastAsia="仿宋_GB2312"/>
                      <w:sz w:val="20"/>
                      <w:color w:val="000000"/>
                    </w:rPr>
                    <w:t>系统运维</w:t>
                  </w: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业务系统运维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包括版本迭代、稳定性监测和安全维护。更新后需持续监测性能，及时修复漏洞；定期进行安全漏洞扫描，排除隐患，并快速响应故障，确保系统可用性；在系统压力增大时进行节点动态扩容，保障用户体验，还配合三级等保要求进行安全整改和补丁升级，并每月汇总运维情况，形成月报。</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2</w:t>
                  </w:r>
                </w:p>
              </w:tc>
              <w:tc>
                <w:tcPr>
                  <w:tcW w:type="dxa" w:w="205"/>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20"/>
                      <w:color w:val="000000"/>
                    </w:rPr>
                    <w:t>服务器运维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定期进行操作系统安全补丁和更新，确保系统安全。</w:t>
                  </w:r>
                  <w:r>
                    <w:rPr>
                      <w:rFonts w:ascii="仿宋_GB2312" w:hAnsi="仿宋_GB2312" w:cs="仿宋_GB2312" w:eastAsia="仿宋_GB2312"/>
                      <w:sz w:val="20"/>
                      <w:color w:val="000000"/>
                    </w:rPr>
                    <w:t>提供一次全省统一部署安排的硬盘扩容服务，并在</w:t>
                  </w:r>
                  <w:r>
                    <w:rPr>
                      <w:rFonts w:ascii="仿宋_GB2312" w:hAnsi="仿宋_GB2312" w:cs="仿宋_GB2312" w:eastAsia="仿宋_GB2312"/>
                      <w:sz w:val="20"/>
                      <w:color w:val="000000"/>
                    </w:rPr>
                    <w:t>每周巡检服务器内存、</w:t>
                  </w:r>
                  <w:r>
                    <w:rPr>
                      <w:rFonts w:ascii="仿宋_GB2312" w:hAnsi="仿宋_GB2312" w:cs="仿宋_GB2312" w:eastAsia="仿宋_GB2312"/>
                      <w:sz w:val="20"/>
                      <w:color w:val="000000"/>
                    </w:rPr>
                    <w:t>CPU和磁盘空间，及时发现并解决风险问题；监控性能指标，配置安全基线并修复潜在安全漏洞；定期更新用户账户和权限，确保授权访问。重要配置文件定期备份。</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3</w:t>
                  </w:r>
                </w:p>
              </w:tc>
              <w:tc>
                <w:tcPr>
                  <w:tcW w:type="dxa" w:w="205"/>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数据库运维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定期进行完整和增量备份，并测试恢复能力。通过监控性能指标进行性能优化，提升查询效率和响应速度；实施安全管理，控制用户权限。容量规划和管理以应对数据库增长趋势，故障时迅速排查与修复。设置监控反馈系统和警报，实时监测数据库状态，并关注版本更新，制定升级计划。</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4</w:t>
                  </w:r>
                </w:p>
              </w:tc>
              <w:tc>
                <w:tcPr>
                  <w:tcW w:type="dxa" w:w="205"/>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中间件运维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安装与配置中间件软件以满足应用需求，监控运行状态和性能指标，设置警报以便及时响应故障。实施安全管理，包括身份验证和补丁更新，监控安全日志以防止威胁。定期进行版本升级与管理。</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5</w:t>
                  </w:r>
                </w:p>
              </w:tc>
              <w:tc>
                <w:tcPr>
                  <w:tcW w:type="dxa" w:w="205"/>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监控软件运维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pPr>
                  <w:r>
                    <w:rPr>
                      <w:rFonts w:ascii="仿宋_GB2312" w:hAnsi="仿宋_GB2312" w:cs="仿宋_GB2312" w:eastAsia="仿宋_GB2312"/>
                      <w:sz w:val="20"/>
                      <w:color w:val="000000"/>
                    </w:rPr>
                    <w:t>部署监控软件，实时跟踪业务系统响应时间，及时发现隐患并定位故障；使用监控并发量工具，确保系统性能稳定；部署数据库监控软件，监控重要指标和会话数，设定重要参数的告警阈值，通过钉钉发送告警信息。</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6</w:t>
                  </w:r>
                </w:p>
              </w:tc>
              <w:tc>
                <w:tcPr>
                  <w:tcW w:type="dxa" w:w="205"/>
                  <w:vMerge w:val="restart"/>
                  <w:tcBorders>
                    <w:top w:val="none" w:color="000000" w:sz="4"/>
                    <w:left w:val="none" w:color="000000" w:sz="4"/>
                    <w:bottom w:val="none" w:color="000000" w:sz="4"/>
                    <w:right w:val="single" w:color="000000" w:sz="4"/>
                  </w:tcBorders>
                  <w:tcMar>
                    <w:top w:type="dxa" w:w="30"/>
                    <w:left w:type="dxa" w:w="45"/>
                    <w:bottom w:type="dxa" w:w="30"/>
                    <w:right w:type="dxa" w:w="45"/>
                  </w:tcMar>
                  <w:vAlign w:val="top"/>
                </w:tcPr>
                <w:p>
                  <w:pPr>
                    <w:pStyle w:val="null3"/>
                    <w:jc w:val="center"/>
                  </w:pPr>
                  <w:r>
                    <w:rPr>
                      <w:rFonts w:ascii="仿宋_GB2312" w:hAnsi="仿宋_GB2312" w:cs="仿宋_GB2312" w:eastAsia="仿宋_GB2312"/>
                      <w:sz w:val="20"/>
                      <w:color w:val="000000"/>
                    </w:rPr>
                    <w:t>数据交换运维与监管</w:t>
                  </w: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20"/>
                      <w:color w:val="000000"/>
                    </w:rPr>
                    <w:t>与国家免疫规划信息管理系统数据交换</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对省级管理平台与国家免疫规划信息管理系统的数据交换过程进行监管和更新，保证受种者档案、全量接种记录信息、疫苗出入库单据、冷链设备信息、业务人员信息的上传。</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7</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与全国疫苗协同服务平台数据交换</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对省级管理平台与全国疫苗协同服务平台的数据交换过程进行监管，接收协同服务平台推送的采购入库单据、基础信息子集，上传疫苗流通信息。</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8</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疫苗冷链温度监测数据对接</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对省级管理平台与第三方冷链设备温度监测数据上传进行监管。</w:t>
                  </w:r>
                </w:p>
                <w:p>
                  <w:pPr>
                    <w:pStyle w:val="null3"/>
                    <w:jc w:val="left"/>
                  </w:pPr>
                  <w:r>
                    <w:rPr>
                      <w:rFonts w:ascii="仿宋_GB2312" w:hAnsi="仿宋_GB2312" w:cs="仿宋_GB2312" w:eastAsia="仿宋_GB2312"/>
                      <w:sz w:val="20"/>
                      <w:color w:val="000000"/>
                    </w:rPr>
                    <w:t>新增冷链管理平台钉钉数据预警功能，用于监测预警消息发送情况</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9</w:t>
                  </w:r>
                </w:p>
              </w:tc>
              <w:tc>
                <w:tcPr>
                  <w:tcW w:type="dxa" w:w="205"/>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center"/>
                  </w:pPr>
                  <w:r>
                    <w:rPr>
                      <w:rFonts w:ascii="仿宋_GB2312" w:hAnsi="仿宋_GB2312" w:cs="仿宋_GB2312" w:eastAsia="仿宋_GB2312"/>
                      <w:sz w:val="20"/>
                      <w:color w:val="000000"/>
                    </w:rPr>
                    <w:t>安全运维</w:t>
                  </w: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both"/>
                  </w:pP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按国家标准和网络安全等级保护要求进行维护；保障网络安全，防止未经授权访问和数据泄露，建立安全基线，确保操作系统、中间件和数据库的稳定运行。制定运维安全管理制度，涵盖安全策略、账号管理，保留审计日志。</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rPr>
                    <w:t>项</w:t>
                  </w:r>
                </w:p>
              </w:tc>
            </w:tr>
            <w:tr>
              <w:tc>
                <w:tcPr>
                  <w:tcW w:type="dxa" w:w="131"/>
                  <w:tcBorders>
                    <w:top w:val="none" w:color="000000" w:sz="4"/>
                    <w:left w:val="single" w:color="000000" w:sz="4"/>
                    <w:bottom w:val="non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10</w:t>
                  </w:r>
                </w:p>
              </w:tc>
              <w:tc>
                <w:tcPr>
                  <w:tcW w:type="dxa" w:w="205"/>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省免疫管理平台功能升级维护</w:t>
                  </w: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报表功能升级</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根据国家免疫规划百白破疫苗免疫程序</w:t>
                  </w:r>
                  <w:r>
                    <w:rPr>
                      <w:rFonts w:ascii="仿宋_GB2312" w:hAnsi="仿宋_GB2312" w:cs="仿宋_GB2312" w:eastAsia="仿宋_GB2312"/>
                      <w:sz w:val="20"/>
                      <w:color w:val="000000"/>
                    </w:rPr>
                    <w:t>和接种率监测方案，结合陕西省的业务管理要求，修改陕西省免疫规划信息管理系统现有接种统计功能，</w:t>
                  </w:r>
                  <w:r>
                    <w:rPr>
                      <w:rFonts w:ascii="仿宋_GB2312" w:hAnsi="仿宋_GB2312" w:cs="仿宋_GB2312" w:eastAsia="仿宋_GB2312"/>
                      <w:sz w:val="20"/>
                      <w:color w:val="000000"/>
                    </w:rPr>
                    <w:t>增加</w:t>
                  </w:r>
                  <w:r>
                    <w:rPr>
                      <w:rFonts w:ascii="仿宋_GB2312" w:hAnsi="仿宋_GB2312" w:cs="仿宋_GB2312" w:eastAsia="仿宋_GB2312"/>
                      <w:sz w:val="20"/>
                      <w:color w:val="000000"/>
                    </w:rPr>
                    <w:t>百白破统计</w:t>
                  </w:r>
                  <w:r>
                    <w:rPr>
                      <w:rFonts w:ascii="仿宋_GB2312" w:hAnsi="仿宋_GB2312" w:cs="仿宋_GB2312" w:eastAsia="仿宋_GB2312"/>
                      <w:sz w:val="20"/>
                      <w:color w:val="000000"/>
                    </w:rPr>
                    <w:t>报表</w:t>
                  </w:r>
                  <w:r>
                    <w:rPr>
                      <w:rFonts w:ascii="仿宋_GB2312" w:hAnsi="仿宋_GB2312" w:cs="仿宋_GB2312" w:eastAsia="仿宋_GB2312"/>
                      <w:sz w:val="20"/>
                      <w:color w:val="000000"/>
                    </w:rPr>
                    <w:t>和优化其他统块。</w:t>
                  </w:r>
                </w:p>
                <w:p>
                  <w:pPr>
                    <w:pStyle w:val="null3"/>
                    <w:jc w:val="left"/>
                  </w:pPr>
                  <w:r>
                    <w:rPr>
                      <w:rFonts w:ascii="仿宋_GB2312" w:hAnsi="仿宋_GB2312" w:cs="仿宋_GB2312" w:eastAsia="仿宋_GB2312"/>
                      <w:sz w:val="19"/>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新增百白破接种及时率统计报表</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业务类型报表统计</w:t>
                  </w:r>
                  <w:r>
                    <w:rPr>
                      <w:rFonts w:ascii="仿宋_GB2312" w:hAnsi="仿宋_GB2312" w:cs="仿宋_GB2312" w:eastAsia="仿宋_GB2312"/>
                      <w:sz w:val="20"/>
                      <w:color w:val="000000"/>
                    </w:rPr>
                    <w:t>优化</w:t>
                  </w:r>
                  <w:r>
                    <w:rPr>
                      <w:rFonts w:ascii="仿宋_GB2312" w:hAnsi="仿宋_GB2312" w:cs="仿宋_GB2312" w:eastAsia="仿宋_GB2312"/>
                      <w:sz w:val="20"/>
                      <w:color w:val="000000"/>
                    </w:rPr>
                    <w:t>，区分业务类型展示，增加算法仅有该业务统计</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用户管理，增加年审功能</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HPV临期未种统计，增加上一剂HPV接种单位</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规范接种及时接种率统计，增加按区域划分显示</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singl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11</w:t>
                  </w:r>
                </w:p>
              </w:tc>
              <w:tc>
                <w:tcPr>
                  <w:tcW w:type="dxa" w:w="205"/>
                  <w:vMerge w:val="restart"/>
                  <w:tcBorders>
                    <w:top w:val="none" w:color="000000" w:sz="4"/>
                    <w:left w:val="none" w:color="000000" w:sz="4"/>
                    <w:bottom w:val="non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省级疫苗追溯系统功能完善</w:t>
                  </w: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追溯菜单调整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根据自陕西省的业务管理要求，</w:t>
                  </w:r>
                  <w:r>
                    <w:rPr>
                      <w:rFonts w:ascii="仿宋_GB2312" w:hAnsi="仿宋_GB2312" w:cs="仿宋_GB2312" w:eastAsia="仿宋_GB2312"/>
                      <w:sz w:val="20"/>
                      <w:color w:val="000000"/>
                    </w:rPr>
                    <w:t>对</w:t>
                  </w:r>
                  <w:r>
                    <w:rPr>
                      <w:rFonts w:ascii="仿宋_GB2312" w:hAnsi="仿宋_GB2312" w:cs="仿宋_GB2312" w:eastAsia="仿宋_GB2312"/>
                      <w:sz w:val="20"/>
                      <w:color w:val="000000"/>
                    </w:rPr>
                    <w:t>陕西省免疫规划信息管理系统的</w:t>
                  </w:r>
                  <w:r>
                    <w:rPr>
                      <w:rFonts w:ascii="仿宋_GB2312" w:hAnsi="仿宋_GB2312" w:cs="仿宋_GB2312" w:eastAsia="仿宋_GB2312"/>
                      <w:sz w:val="20"/>
                      <w:color w:val="000000"/>
                    </w:rPr>
                    <w:t>疫苗</w:t>
                  </w:r>
                  <w:r>
                    <w:rPr>
                      <w:rFonts w:ascii="仿宋_GB2312" w:hAnsi="仿宋_GB2312" w:cs="仿宋_GB2312" w:eastAsia="仿宋_GB2312"/>
                      <w:sz w:val="20"/>
                      <w:color w:val="000000"/>
                    </w:rPr>
                    <w:t>管理功能进行</w:t>
                  </w:r>
                  <w:r>
                    <w:rPr>
                      <w:rFonts w:ascii="仿宋_GB2312" w:hAnsi="仿宋_GB2312" w:cs="仿宋_GB2312" w:eastAsia="仿宋_GB2312"/>
                      <w:sz w:val="20"/>
                      <w:color w:val="000000"/>
                    </w:rPr>
                    <w:t>优化</w:t>
                  </w:r>
                </w:p>
                <w:p>
                  <w:pPr>
                    <w:pStyle w:val="null3"/>
                    <w:jc w:val="left"/>
                  </w:pPr>
                  <w:r>
                    <w:rPr>
                      <w:rFonts w:ascii="仿宋_GB2312" w:hAnsi="仿宋_GB2312" w:cs="仿宋_GB2312" w:eastAsia="仿宋_GB2312"/>
                      <w:sz w:val="20"/>
                      <w:color w:val="000000"/>
                    </w:rPr>
                    <w:t>1、菜单移除：计划入库、批号入库、单据入库、村级出库</w:t>
                  </w:r>
                </w:p>
                <w:p>
                  <w:pPr>
                    <w:pStyle w:val="null3"/>
                    <w:jc w:val="left"/>
                  </w:pPr>
                  <w:r>
                    <w:rPr>
                      <w:rFonts w:ascii="仿宋_GB2312" w:hAnsi="仿宋_GB2312" w:cs="仿宋_GB2312" w:eastAsia="仿宋_GB2312"/>
                      <w:sz w:val="20"/>
                      <w:color w:val="000000"/>
                    </w:rPr>
                    <w:t>2、菜单改名及系统同步调整：</w:t>
                  </w:r>
                </w:p>
                <w:p>
                  <w:pPr>
                    <w:pStyle w:val="null3"/>
                    <w:jc w:val="left"/>
                  </w:pPr>
                  <w:r>
                    <w:rPr>
                      <w:rFonts w:ascii="仿宋_GB2312" w:hAnsi="仿宋_GB2312" w:cs="仿宋_GB2312" w:eastAsia="仿宋_GB2312"/>
                      <w:sz w:val="20"/>
                      <w:color w:val="000000"/>
                    </w:rPr>
                    <w:t>到货入库</w:t>
                  </w:r>
                  <w:r>
                    <w:rPr>
                      <w:rFonts w:ascii="仿宋_GB2312" w:hAnsi="仿宋_GB2312" w:cs="仿宋_GB2312" w:eastAsia="仿宋_GB2312"/>
                      <w:sz w:val="20"/>
                      <w:color w:val="000000"/>
                    </w:rPr>
                    <w:t>→供应入库</w:t>
                  </w:r>
                </w:p>
                <w:p>
                  <w:pPr>
                    <w:pStyle w:val="null3"/>
                    <w:jc w:val="left"/>
                  </w:pPr>
                  <w:r>
                    <w:rPr>
                      <w:rFonts w:ascii="仿宋_GB2312" w:hAnsi="仿宋_GB2312" w:cs="仿宋_GB2312" w:eastAsia="仿宋_GB2312"/>
                      <w:sz w:val="20"/>
                      <w:color w:val="000000"/>
                    </w:rPr>
                    <w:t>内部领用</w:t>
                  </w:r>
                  <w:r>
                    <w:rPr>
                      <w:rFonts w:ascii="仿宋_GB2312" w:hAnsi="仿宋_GB2312" w:cs="仿宋_GB2312" w:eastAsia="仿宋_GB2312"/>
                      <w:sz w:val="20"/>
                      <w:color w:val="000000"/>
                    </w:rPr>
                    <w:t>→其他出库</w:t>
                  </w:r>
                </w:p>
                <w:p>
                  <w:pPr>
                    <w:pStyle w:val="null3"/>
                    <w:jc w:val="left"/>
                  </w:pPr>
                  <w:r>
                    <w:rPr>
                      <w:rFonts w:ascii="仿宋_GB2312" w:hAnsi="仿宋_GB2312" w:cs="仿宋_GB2312" w:eastAsia="仿宋_GB2312"/>
                      <w:sz w:val="20"/>
                      <w:color w:val="000000"/>
                    </w:rPr>
                    <w:t>单据出库</w:t>
                  </w:r>
                  <w:r>
                    <w:rPr>
                      <w:rFonts w:ascii="仿宋_GB2312" w:hAnsi="仿宋_GB2312" w:cs="仿宋_GB2312" w:eastAsia="仿宋_GB2312"/>
                      <w:sz w:val="20"/>
                      <w:color w:val="000000"/>
                    </w:rPr>
                    <w:t>/ 库存出库→供应出库</w:t>
                  </w:r>
                </w:p>
                <w:p>
                  <w:pPr>
                    <w:pStyle w:val="null3"/>
                    <w:jc w:val="left"/>
                  </w:pPr>
                  <w:r>
                    <w:rPr>
                      <w:rFonts w:ascii="仿宋_GB2312" w:hAnsi="仿宋_GB2312" w:cs="仿宋_GB2312" w:eastAsia="仿宋_GB2312"/>
                      <w:sz w:val="20"/>
                      <w:color w:val="000000"/>
                    </w:rPr>
                    <w:t>扫码盘增</w:t>
                  </w:r>
                  <w:r>
                    <w:rPr>
                      <w:rFonts w:ascii="仿宋_GB2312" w:hAnsi="仿宋_GB2312" w:cs="仿宋_GB2312" w:eastAsia="仿宋_GB2312"/>
                      <w:sz w:val="20"/>
                      <w:color w:val="000000"/>
                    </w:rPr>
                    <w:t>→盘盈入库</w:t>
                  </w:r>
                </w:p>
                <w:p>
                  <w:pPr>
                    <w:pStyle w:val="null3"/>
                    <w:jc w:val="left"/>
                  </w:pPr>
                  <w:r>
                    <w:rPr>
                      <w:rFonts w:ascii="仿宋_GB2312" w:hAnsi="仿宋_GB2312" w:cs="仿宋_GB2312" w:eastAsia="仿宋_GB2312"/>
                      <w:sz w:val="20"/>
                      <w:color w:val="000000"/>
                    </w:rPr>
                    <w:t>扫码盘减</w:t>
                  </w:r>
                  <w:r>
                    <w:rPr>
                      <w:rFonts w:ascii="仿宋_GB2312" w:hAnsi="仿宋_GB2312" w:cs="仿宋_GB2312" w:eastAsia="仿宋_GB2312"/>
                      <w:sz w:val="20"/>
                      <w:color w:val="000000"/>
                    </w:rPr>
                    <w:t>→盘亏出库</w:t>
                  </w:r>
                  <w:r>
                    <w:rPr>
                      <w:rFonts w:ascii="仿宋_GB2312" w:hAnsi="仿宋_GB2312" w:cs="仿宋_GB2312" w:eastAsia="仿宋_GB2312"/>
                      <w:sz w:val="19"/>
                    </w:rPr>
                    <w:t xml:space="preserve"> </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12</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入</w:t>
                  </w:r>
                  <w:r>
                    <w:rPr>
                      <w:rFonts w:ascii="仿宋_GB2312" w:hAnsi="仿宋_GB2312" w:cs="仿宋_GB2312" w:eastAsia="仿宋_GB2312"/>
                      <w:sz w:val="20"/>
                      <w:color w:val="000000"/>
                    </w:rPr>
                    <w:t>库单功能优化</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根据国家数据标准，</w:t>
                  </w:r>
                  <w:r>
                    <w:rPr>
                      <w:rFonts w:ascii="仿宋_GB2312" w:hAnsi="仿宋_GB2312" w:cs="仿宋_GB2312" w:eastAsia="仿宋_GB2312"/>
                      <w:sz w:val="20"/>
                      <w:color w:val="000000"/>
                    </w:rPr>
                    <w:t>对</w:t>
                  </w:r>
                  <w:r>
                    <w:rPr>
                      <w:rFonts w:ascii="仿宋_GB2312" w:hAnsi="仿宋_GB2312" w:cs="仿宋_GB2312" w:eastAsia="仿宋_GB2312"/>
                      <w:sz w:val="20"/>
                      <w:color w:val="000000"/>
                    </w:rPr>
                    <w:t>陕西省免疫规划信息管理系统</w:t>
                  </w:r>
                  <w:r>
                    <w:rPr>
                      <w:rFonts w:ascii="仿宋_GB2312" w:hAnsi="仿宋_GB2312" w:cs="仿宋_GB2312" w:eastAsia="仿宋_GB2312"/>
                      <w:sz w:val="20"/>
                      <w:color w:val="000000"/>
                    </w:rPr>
                    <w:t>疫苗</w:t>
                  </w:r>
                  <w:r>
                    <w:rPr>
                      <w:rFonts w:ascii="仿宋_GB2312" w:hAnsi="仿宋_GB2312" w:cs="仿宋_GB2312" w:eastAsia="仿宋_GB2312"/>
                      <w:sz w:val="20"/>
                      <w:color w:val="000000"/>
                    </w:rPr>
                    <w:t>管理的</w:t>
                  </w:r>
                  <w:r>
                    <w:rPr>
                      <w:rFonts w:ascii="仿宋_GB2312" w:hAnsi="仿宋_GB2312" w:cs="仿宋_GB2312" w:eastAsia="仿宋_GB2312"/>
                      <w:sz w:val="20"/>
                      <w:color w:val="000000"/>
                    </w:rPr>
                    <w:t>入库功能</w:t>
                  </w:r>
                  <w:r>
                    <w:rPr>
                      <w:rFonts w:ascii="仿宋_GB2312" w:hAnsi="仿宋_GB2312" w:cs="仿宋_GB2312" w:eastAsia="仿宋_GB2312"/>
                      <w:sz w:val="20"/>
                      <w:color w:val="000000"/>
                    </w:rPr>
                    <w:t>进行</w:t>
                  </w:r>
                  <w:r>
                    <w:rPr>
                      <w:rFonts w:ascii="仿宋_GB2312" w:hAnsi="仿宋_GB2312" w:cs="仿宋_GB2312" w:eastAsia="仿宋_GB2312"/>
                      <w:sz w:val="20"/>
                      <w:color w:val="000000"/>
                    </w:rPr>
                    <w:t>优化</w:t>
                  </w:r>
                </w:p>
                <w:p>
                  <w:pPr>
                    <w:pStyle w:val="null3"/>
                    <w:jc w:val="left"/>
                  </w:pPr>
                  <w:r>
                    <w:rPr>
                      <w:rFonts w:ascii="仿宋_GB2312" w:hAnsi="仿宋_GB2312" w:cs="仿宋_GB2312" w:eastAsia="仿宋_GB2312"/>
                      <w:sz w:val="20"/>
                      <w:color w:val="000000"/>
                    </w:rPr>
                    <w:t>1、名称标准化：所有入库类型的 “入库单位名称、发货单位名称” 统一；“发货单位名称” 改为 “出库单位”，“收货单位名称” 改为 “入库单位”</w:t>
                  </w:r>
                </w:p>
                <w:p>
                  <w:pPr>
                    <w:pStyle w:val="null3"/>
                    <w:jc w:val="left"/>
                  </w:pPr>
                  <w:r>
                    <w:rPr>
                      <w:rFonts w:ascii="仿宋_GB2312" w:hAnsi="仿宋_GB2312" w:cs="仿宋_GB2312" w:eastAsia="仿宋_GB2312"/>
                      <w:sz w:val="20"/>
                      <w:color w:val="000000"/>
                    </w:rPr>
                    <w:t>信息补充：采购入库需增加运输单信息（满足国家平台上传要求）</w:t>
                  </w:r>
                </w:p>
                <w:p>
                  <w:pPr>
                    <w:pStyle w:val="null3"/>
                    <w:jc w:val="left"/>
                  </w:pPr>
                  <w:r>
                    <w:rPr>
                      <w:rFonts w:ascii="仿宋_GB2312" w:hAnsi="仿宋_GB2312" w:cs="仿宋_GB2312" w:eastAsia="仿宋_GB2312"/>
                      <w:sz w:val="20"/>
                      <w:color w:val="000000"/>
                    </w:rPr>
                    <w:t>2、流程优化：创建单据与审核单据的 title 需区分显示</w:t>
                  </w:r>
                </w:p>
                <w:p>
                  <w:pPr>
                    <w:pStyle w:val="null3"/>
                    <w:jc w:val="left"/>
                  </w:pPr>
                  <w:r>
                    <w:rPr>
                      <w:rFonts w:ascii="仿宋_GB2312" w:hAnsi="仿宋_GB2312" w:cs="仿宋_GB2312" w:eastAsia="仿宋_GB2312"/>
                      <w:sz w:val="20"/>
                      <w:color w:val="000000"/>
                    </w:rPr>
                    <w:t>3、功能完善：新增调拨入库功能；按国家平台规范优化调拨出库（现有调拨出库产生供应入库不符合规范）</w:t>
                  </w:r>
                </w:p>
                <w:p>
                  <w:pPr>
                    <w:pStyle w:val="null3"/>
                    <w:jc w:val="left"/>
                  </w:pPr>
                  <w:r>
                    <w:rPr>
                      <w:rFonts w:ascii="仿宋_GB2312" w:hAnsi="仿宋_GB2312" w:cs="仿宋_GB2312" w:eastAsia="仿宋_GB2312"/>
                      <w:sz w:val="20"/>
                      <w:color w:val="000000"/>
                    </w:rPr>
                    <w:t>4、附加功能：操作列添加 “运输日志记录查看” 入口</w:t>
                  </w:r>
                  <w:r>
                    <w:rPr>
                      <w:rFonts w:ascii="仿宋_GB2312" w:hAnsi="仿宋_GB2312" w:cs="仿宋_GB2312" w:eastAsia="仿宋_GB2312"/>
                      <w:sz w:val="19"/>
                    </w:rPr>
                    <w:t xml:space="preserve"> </w:t>
                  </w:r>
                </w:p>
                <w:p>
                  <w:pPr>
                    <w:pStyle w:val="null3"/>
                    <w:jc w:val="left"/>
                  </w:pP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13</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出库单功能优化</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根据自陕西省的业务管理要求，</w:t>
                  </w:r>
                  <w:r>
                    <w:rPr>
                      <w:rFonts w:ascii="仿宋_GB2312" w:hAnsi="仿宋_GB2312" w:cs="仿宋_GB2312" w:eastAsia="仿宋_GB2312"/>
                      <w:sz w:val="20"/>
                      <w:color w:val="000000"/>
                    </w:rPr>
                    <w:t>对省疫苗追溯系统的出库功能列表展示名称按国家要求优化</w:t>
                  </w:r>
                </w:p>
                <w:p>
                  <w:pPr>
                    <w:pStyle w:val="null3"/>
                    <w:jc w:val="left"/>
                  </w:pPr>
                  <w:r>
                    <w:rPr>
                      <w:rFonts w:ascii="仿宋_GB2312" w:hAnsi="仿宋_GB2312" w:cs="仿宋_GB2312" w:eastAsia="仿宋_GB2312"/>
                      <w:sz w:val="20"/>
                      <w:color w:val="000000"/>
                    </w:rPr>
                    <w:t>1、信息补充：</w:t>
                  </w:r>
                </w:p>
                <w:p>
                  <w:pPr>
                    <w:pStyle w:val="null3"/>
                    <w:jc w:val="left"/>
                  </w:pPr>
                  <w:r>
                    <w:rPr>
                      <w:rFonts w:ascii="仿宋_GB2312" w:hAnsi="仿宋_GB2312" w:cs="仿宋_GB2312" w:eastAsia="仿宋_GB2312"/>
                      <w:sz w:val="20"/>
                      <w:color w:val="000000"/>
                    </w:rPr>
                    <w:t>02. 供应出库、04. 退货出库、06. 调拨出库、10. 召回出库、12. 报废出库需补充起运时间</w:t>
                  </w:r>
                </w:p>
                <w:p>
                  <w:pPr>
                    <w:pStyle w:val="null3"/>
                    <w:jc w:val="left"/>
                  </w:pPr>
                  <w:r>
                    <w:rPr>
                      <w:rFonts w:ascii="仿宋_GB2312" w:hAnsi="仿宋_GB2312" w:cs="仿宋_GB2312" w:eastAsia="仿宋_GB2312"/>
                      <w:sz w:val="20"/>
                      <w:color w:val="000000"/>
                    </w:rPr>
                    <w:t>2、销毁出库按国家平台规范补充：疫苗报废 / 销毁原因代码、疫苗回收时间、疫苗销毁时间 / 经手人 / 方式</w:t>
                  </w:r>
                </w:p>
                <w:p>
                  <w:pPr>
                    <w:pStyle w:val="null3"/>
                    <w:jc w:val="left"/>
                  </w:pPr>
                  <w:r>
                    <w:rPr>
                      <w:rFonts w:ascii="仿宋_GB2312" w:hAnsi="仿宋_GB2312" w:cs="仿宋_GB2312" w:eastAsia="仿宋_GB2312"/>
                      <w:sz w:val="20"/>
                      <w:color w:val="000000"/>
                    </w:rPr>
                    <w:t>3、名称标准化：所有出库类型的 “出库单位名称、去向单位名称” 统一；“发货单位名称” 改为 “出库单位”，“收货单位名称” 改为 “入库单位”</w:t>
                  </w:r>
                </w:p>
                <w:p>
                  <w:pPr>
                    <w:pStyle w:val="null3"/>
                    <w:jc w:val="left"/>
                  </w:pPr>
                  <w:r>
                    <w:rPr>
                      <w:rFonts w:ascii="仿宋_GB2312" w:hAnsi="仿宋_GB2312" w:cs="仿宋_GB2312" w:eastAsia="仿宋_GB2312"/>
                      <w:sz w:val="20"/>
                      <w:color w:val="000000"/>
                    </w:rPr>
                    <w:t>流程优化：</w:t>
                  </w:r>
                </w:p>
                <w:p>
                  <w:pPr>
                    <w:pStyle w:val="null3"/>
                    <w:jc w:val="left"/>
                  </w:pPr>
                  <w:r>
                    <w:rPr>
                      <w:rFonts w:ascii="仿宋_GB2312" w:hAnsi="仿宋_GB2312" w:cs="仿宋_GB2312" w:eastAsia="仿宋_GB2312"/>
                      <w:sz w:val="20"/>
                      <w:color w:val="000000"/>
                    </w:rPr>
                    <w:t>4、创建单据与审核单据的 title 需区分显示</w:t>
                  </w:r>
                </w:p>
                <w:p>
                  <w:pPr>
                    <w:pStyle w:val="null3"/>
                    <w:jc w:val="left"/>
                  </w:pPr>
                  <w:r>
                    <w:rPr>
                      <w:rFonts w:ascii="仿宋_GB2312" w:hAnsi="仿宋_GB2312" w:cs="仿宋_GB2312" w:eastAsia="仿宋_GB2312"/>
                      <w:sz w:val="20"/>
                      <w:color w:val="000000"/>
                    </w:rPr>
                    <w:t>5、起运时间调整为 “建单时不填写，审核时添加”</w:t>
                  </w:r>
                </w:p>
                <w:p>
                  <w:pPr>
                    <w:pStyle w:val="null3"/>
                    <w:jc w:val="left"/>
                  </w:pPr>
                  <w:r>
                    <w:rPr>
                      <w:rFonts w:ascii="仿宋_GB2312" w:hAnsi="仿宋_GB2312" w:cs="仿宋_GB2312" w:eastAsia="仿宋_GB2312"/>
                      <w:sz w:val="20"/>
                      <w:color w:val="000000"/>
                    </w:rPr>
                    <w:t>6、规则优化：按国家平台规范优化报废出库 / 入库逻辑 —— 追溯系统中报废出库去向单位增加限制；报废出库必须对应报废入库（解决门诊自行报废出库无报废入库问题）</w:t>
                  </w:r>
                </w:p>
                <w:p>
                  <w:pPr>
                    <w:pStyle w:val="null3"/>
                    <w:jc w:val="left"/>
                  </w:pPr>
                  <w:r>
                    <w:rPr>
                      <w:rFonts w:ascii="仿宋_GB2312" w:hAnsi="仿宋_GB2312" w:cs="仿宋_GB2312" w:eastAsia="仿宋_GB2312"/>
                      <w:sz w:val="20"/>
                      <w:color w:val="000000"/>
                    </w:rPr>
                    <w:t>7、附加功能：操作列添加 “运输日志记录查看” 入</w:t>
                  </w:r>
                  <w:r>
                    <w:rPr>
                      <w:rFonts w:ascii="仿宋_GB2312" w:hAnsi="仿宋_GB2312" w:cs="仿宋_GB2312" w:eastAsia="仿宋_GB2312"/>
                      <w:sz w:val="19"/>
                    </w:rPr>
                    <w:t xml:space="preserve"> </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14</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报表优化与新增</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根据自陕西省的业务管理要求，</w:t>
                  </w:r>
                  <w:r>
                    <w:rPr>
                      <w:rFonts w:ascii="仿宋_GB2312" w:hAnsi="仿宋_GB2312" w:cs="仿宋_GB2312" w:eastAsia="仿宋_GB2312"/>
                      <w:sz w:val="20"/>
                      <w:color w:val="000000"/>
                    </w:rPr>
                    <w:t>对省疫苗追溯系统的报表功能增加报表功能</w:t>
                  </w:r>
                </w:p>
                <w:p>
                  <w:pPr>
                    <w:pStyle w:val="null3"/>
                    <w:numPr>
                      <w:ilvl w:val="0"/>
                      <w:numId w:val="1"/>
                    </w:numPr>
                    <w:jc w:val="left"/>
                  </w:pPr>
                  <w:r>
                    <w:rPr>
                      <w:rFonts w:ascii="仿宋_GB2312" w:hAnsi="仿宋_GB2312" w:cs="仿宋_GB2312" w:eastAsia="仿宋_GB2312"/>
                      <w:sz w:val="19"/>
                    </w:rPr>
                    <w:t>▲</w:t>
                  </w:r>
                  <w:r>
                    <w:rPr>
                      <w:rFonts w:ascii="仿宋_GB2312" w:hAnsi="仿宋_GB2312" w:cs="仿宋_GB2312" w:eastAsia="仿宋_GB2312"/>
                      <w:sz w:val="20"/>
                      <w:color w:val="000000"/>
                    </w:rPr>
                    <w:t>疫苗损耗报表（重复需求合并）：新增</w:t>
                  </w:r>
                  <w:r>
                    <w:rPr>
                      <w:rFonts w:ascii="仿宋_GB2312" w:hAnsi="仿宋_GB2312" w:cs="仿宋_GB2312" w:eastAsia="仿宋_GB2312"/>
                      <w:sz w:val="20"/>
                      <w:color w:val="000000"/>
                    </w:rPr>
                    <w:t>“损耗系数” 列，算法中排除报废数</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19"/>
                    </w:rPr>
                    <w:t>▲</w:t>
                  </w:r>
                  <w:r>
                    <w:rPr>
                      <w:rFonts w:ascii="仿宋_GB2312" w:hAnsi="仿宋_GB2312" w:cs="仿宋_GB2312" w:eastAsia="仿宋_GB2312"/>
                      <w:sz w:val="20"/>
                      <w:color w:val="000000"/>
                    </w:rPr>
                    <w:t>库存预警报表：根据每日固化的库存预警数据生成报表</w:t>
                  </w:r>
                  <w:r>
                    <w:rPr>
                      <w:rFonts w:ascii="仿宋_GB2312" w:hAnsi="仿宋_GB2312" w:cs="仿宋_GB2312" w:eastAsia="仿宋_GB2312"/>
                      <w:sz w:val="19"/>
                    </w:rPr>
                    <w:t xml:space="preserve"> </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15</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20"/>
                      <w:color w:val="000000"/>
                    </w:rPr>
                    <w:t>追溯统计功能优化</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根据自陕西省的业务管理要求，</w:t>
                  </w:r>
                  <w:r>
                    <w:rPr>
                      <w:rFonts w:ascii="仿宋_GB2312" w:hAnsi="仿宋_GB2312" w:cs="仿宋_GB2312" w:eastAsia="仿宋_GB2312"/>
                      <w:sz w:val="20"/>
                      <w:color w:val="000000"/>
                    </w:rPr>
                    <w:t>对省疫苗追溯系统的疫苗流通功能优化需求</w:t>
                  </w:r>
                </w:p>
                <w:p>
                  <w:pPr>
                    <w:pStyle w:val="null3"/>
                    <w:jc w:val="left"/>
                  </w:pPr>
                  <w:r>
                    <w:rPr>
                      <w:rFonts w:ascii="仿宋_GB2312" w:hAnsi="仿宋_GB2312" w:cs="仿宋_GB2312" w:eastAsia="仿宋_GB2312"/>
                      <w:sz w:val="20"/>
                      <w:color w:val="000000"/>
                    </w:rPr>
                    <w:t>1、疫苗流向功能：添加报废出库、损坏出库、销毁出库、报废入库数展示</w:t>
                  </w:r>
                </w:p>
                <w:p>
                  <w:pPr>
                    <w:pStyle w:val="null3"/>
                    <w:jc w:val="left"/>
                  </w:pPr>
                  <w:r>
                    <w:rPr>
                      <w:rFonts w:ascii="仿宋_GB2312" w:hAnsi="仿宋_GB2312" w:cs="仿宋_GB2312" w:eastAsia="仿宋_GB2312"/>
                      <w:sz w:val="20"/>
                      <w:color w:val="000000"/>
                    </w:rPr>
                    <w:t>2、性能优化：解决计算超时导致无法出数据的问题</w:t>
                  </w:r>
                  <w:r>
                    <w:rPr>
                      <w:rFonts w:ascii="仿宋_GB2312" w:hAnsi="仿宋_GB2312" w:cs="仿宋_GB2312" w:eastAsia="仿宋_GB2312"/>
                      <w:sz w:val="19"/>
                    </w:rPr>
                    <w:t xml:space="preserve"> </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16</w:t>
                  </w:r>
                </w:p>
              </w:tc>
              <w:tc>
                <w:tcPr>
                  <w:tcW w:type="dxa" w:w="205"/>
                  <w:vMerge/>
                  <w:tcBorders>
                    <w:top w:val="none" w:color="000000" w:sz="4"/>
                    <w:left w:val="none" w:color="000000" w:sz="4"/>
                    <w:bottom w:val="non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系统功能验证与基础信息调整</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根据自陕西省的业务管理要求，</w:t>
                  </w:r>
                  <w:r>
                    <w:rPr>
                      <w:rFonts w:ascii="仿宋_GB2312" w:hAnsi="仿宋_GB2312" w:cs="仿宋_GB2312" w:eastAsia="仿宋_GB2312"/>
                      <w:sz w:val="20"/>
                      <w:color w:val="000000"/>
                    </w:rPr>
                    <w:t>对省疫苗追溯系统的盘点功能和冷链设备功能优化需求</w:t>
                  </w:r>
                </w:p>
                <w:p>
                  <w:pPr>
                    <w:pStyle w:val="null3"/>
                    <w:jc w:val="left"/>
                  </w:pPr>
                  <w:r>
                    <w:rPr>
                      <w:rFonts w:ascii="仿宋_GB2312" w:hAnsi="仿宋_GB2312" w:cs="仿宋_GB2312" w:eastAsia="仿宋_GB2312"/>
                      <w:sz w:val="20"/>
                      <w:color w:val="000000"/>
                    </w:rPr>
                    <w:t>1、盘点提醒：疫苗月度盘点、整库盘点未扫描任何追溯码时，审核阶段触发提醒</w:t>
                  </w:r>
                </w:p>
                <w:p>
                  <w:pPr>
                    <w:pStyle w:val="null3"/>
                    <w:jc w:val="left"/>
                  </w:pPr>
                  <w:r>
                    <w:rPr>
                      <w:rFonts w:ascii="仿宋_GB2312" w:hAnsi="仿宋_GB2312" w:cs="仿宋_GB2312" w:eastAsia="仿宋_GB2312"/>
                      <w:sz w:val="20"/>
                      <w:color w:val="000000"/>
                    </w:rPr>
                    <w:t>2、基础信息调整：库存设备和物资的 “设备编码” 改为 “设备序列号”</w:t>
                  </w:r>
                  <w:r>
                    <w:rPr>
                      <w:rFonts w:ascii="仿宋_GB2312" w:hAnsi="仿宋_GB2312" w:cs="仿宋_GB2312" w:eastAsia="仿宋_GB2312"/>
                      <w:sz w:val="19"/>
                    </w:rPr>
                    <w:t xml:space="preserve"> </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17</w:t>
                  </w:r>
                </w:p>
              </w:tc>
              <w:tc>
                <w:tcPr>
                  <w:tcW w:type="dxa" w:w="205"/>
                  <w:vMerge w:val="restart"/>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国家免疫规划百白破疫苗和白破疫苗免疫程序调整实施技术方案</w:t>
                  </w:r>
                </w:p>
                <w:p>
                  <w:pPr>
                    <w:pStyle w:val="null3"/>
                    <w:jc w:val="left"/>
                  </w:p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免疫程序改造接种登记</w:t>
                  </w:r>
                </w:p>
                <w:p>
                  <w:pPr>
                    <w:pStyle w:val="null3"/>
                    <w:jc w:val="left"/>
                  </w:pP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根据国家免疫规划百白破疫苗免疫程序，调整</w:t>
                  </w:r>
                  <w:r>
                    <w:rPr>
                      <w:rFonts w:ascii="仿宋_GB2312" w:hAnsi="仿宋_GB2312" w:cs="仿宋_GB2312" w:eastAsia="仿宋_GB2312"/>
                      <w:sz w:val="20"/>
                      <w:color w:val="000000"/>
                    </w:rPr>
                    <w:t>陕西省免疫规划信息管理系统的</w:t>
                  </w:r>
                  <w:r>
                    <w:rPr>
                      <w:rFonts w:ascii="仿宋_GB2312" w:hAnsi="仿宋_GB2312" w:cs="仿宋_GB2312" w:eastAsia="仿宋_GB2312"/>
                      <w:sz w:val="20"/>
                      <w:color w:val="000000"/>
                    </w:rPr>
                    <w:t>百白破预约、登记、接种流程</w:t>
                  </w:r>
                </w:p>
                <w:p>
                  <w:pPr>
                    <w:pStyle w:val="null3"/>
                    <w:jc w:val="left"/>
                  </w:pPr>
                  <w:r>
                    <w:rPr>
                      <w:rFonts w:ascii="仿宋_GB2312" w:hAnsi="仿宋_GB2312" w:cs="仿宋_GB2312" w:eastAsia="仿宋_GB2312"/>
                      <w:sz w:val="20"/>
                      <w:color w:val="000000"/>
                    </w:rPr>
                    <w:t>1、调整百白破疫苗和白破疫苗的免疫程序，为接种登记和监测报表提供依据。</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改造公众服务显示和预约；</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改造接种计划计算；</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改造登记疫苗时程序判断；</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为适龄儿童处理好历史数据。</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18</w:t>
                  </w:r>
                </w:p>
              </w:tc>
              <w:tc>
                <w:tcPr>
                  <w:tcW w:type="dxa" w:w="205"/>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20"/>
                      <w:color w:val="000000"/>
                    </w:rPr>
                    <w:t>监测报表改造</w:t>
                  </w:r>
                </w:p>
              </w:tc>
              <w:tc>
                <w:tcPr>
                  <w:tcW w:type="dxa" w:w="1681"/>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根据国家免疫规划百白破疫苗免疫程序，调整</w:t>
                  </w:r>
                  <w:r>
                    <w:rPr>
                      <w:rFonts w:ascii="仿宋_GB2312" w:hAnsi="仿宋_GB2312" w:cs="仿宋_GB2312" w:eastAsia="仿宋_GB2312"/>
                      <w:sz w:val="20"/>
                      <w:color w:val="000000"/>
                    </w:rPr>
                    <w:t>陕西省</w:t>
                  </w:r>
                  <w:r>
                    <w:rPr>
                      <w:rFonts w:ascii="仿宋_GB2312" w:hAnsi="仿宋_GB2312" w:cs="仿宋_GB2312" w:eastAsia="仿宋_GB2312"/>
                      <w:sz w:val="20"/>
                      <w:color w:val="000000"/>
                    </w:rPr>
                    <w:t>免疫</w:t>
                  </w:r>
                  <w:r>
                    <w:rPr>
                      <w:rFonts w:ascii="仿宋_GB2312" w:hAnsi="仿宋_GB2312" w:cs="仿宋_GB2312" w:eastAsia="仿宋_GB2312"/>
                      <w:sz w:val="20"/>
                      <w:color w:val="000000"/>
                    </w:rPr>
                    <w:t>规划信息管理系统</w:t>
                  </w:r>
                  <w:r>
                    <w:rPr>
                      <w:rFonts w:ascii="仿宋_GB2312" w:hAnsi="仿宋_GB2312" w:cs="仿宋_GB2312" w:eastAsia="仿宋_GB2312"/>
                      <w:sz w:val="20"/>
                      <w:color w:val="000000"/>
                    </w:rPr>
                    <w:t>报表</w:t>
                  </w:r>
                  <w:r>
                    <w:rPr>
                      <w:rFonts w:ascii="仿宋_GB2312" w:hAnsi="仿宋_GB2312" w:cs="仿宋_GB2312" w:eastAsia="仿宋_GB2312"/>
                      <w:sz w:val="20"/>
                      <w:color w:val="000000"/>
                    </w:rPr>
                    <w:t>改造，实现百白破疫苗第</w:t>
                  </w:r>
                  <w:r>
                    <w:rPr>
                      <w:rFonts w:ascii="仿宋_GB2312" w:hAnsi="仿宋_GB2312" w:cs="仿宋_GB2312" w:eastAsia="仿宋_GB2312"/>
                      <w:sz w:val="20"/>
                      <w:color w:val="000000"/>
                    </w:rPr>
                    <w:t>5剂的接种率统计算法：</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7-1月报</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7-1统计表</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出生队列季报表</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出生队列统计表</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门诊接种率上报</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分剂次接种率</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接种评价统计</w:t>
                  </w:r>
                  <w:r>
                    <w:rPr>
                      <w:rFonts w:ascii="仿宋_GB2312" w:hAnsi="仿宋_GB2312" w:cs="仿宋_GB2312" w:eastAsia="仿宋_GB2312"/>
                      <w:sz w:val="20"/>
                      <w:color w:val="000000"/>
                    </w:rPr>
                    <w:t>(及时规范)</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接种率考核</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全程接种率統计</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接种率排名报表</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接种年</w:t>
                  </w:r>
                  <w:r>
                    <w:rPr>
                      <w:rFonts w:ascii="仿宋_GB2312" w:hAnsi="仿宋_GB2312" w:cs="仿宋_GB2312" w:eastAsia="仿宋_GB2312"/>
                      <w:sz w:val="20"/>
                      <w:color w:val="000000"/>
                    </w:rPr>
                    <w:t>龄统</w:t>
                  </w:r>
                  <w:r>
                    <w:rPr>
                      <w:rFonts w:ascii="仿宋_GB2312" w:hAnsi="仿宋_GB2312" w:cs="仿宋_GB2312" w:eastAsia="仿宋_GB2312"/>
                      <w:sz w:val="20"/>
                      <w:color w:val="000000"/>
                    </w:rPr>
                    <w:t>计报表</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接种率上报统计</w:t>
                  </w:r>
                </w:p>
              </w:tc>
              <w:tc>
                <w:tcPr>
                  <w:tcW w:type="dxa" w:w="119"/>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1</w:t>
                  </w:r>
                </w:p>
              </w:tc>
              <w:tc>
                <w:tcPr>
                  <w:tcW w:type="dxa" w:w="113"/>
                  <w:tcBorders>
                    <w:top w:val="none" w:color="000000" w:sz="4"/>
                    <w:left w:val="none" w:color="000000" w:sz="4"/>
                    <w:bottom w:val="single" w:color="000000" w:sz="4"/>
                    <w:right w:val="single" w:color="000000" w:sz="4"/>
                  </w:tcBorders>
                  <w:tcMar>
                    <w:top w:type="dxa" w:w="30"/>
                    <w:left w:type="dxa" w:w="45"/>
                    <w:bottom w:type="dxa" w:w="30"/>
                    <w:right w:type="dxa" w:w="45"/>
                  </w:tcMar>
                  <w:vAlign w:val="top"/>
                </w:tcPr>
                <w:p>
                  <w:pPr>
                    <w:pStyle w:val="null3"/>
                    <w:jc w:val="left"/>
                  </w:pPr>
                  <w:r>
                    <w:rPr>
                      <w:rFonts w:ascii="仿宋_GB2312" w:hAnsi="仿宋_GB2312" w:cs="仿宋_GB2312" w:eastAsia="仿宋_GB2312"/>
                      <w:sz w:val="20"/>
                      <w:color w:val="000000"/>
                    </w:rPr>
                    <w:t>项</w:t>
                  </w:r>
                </w:p>
              </w:tc>
            </w:tr>
          </w:tbl>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、省级免疫规划信息管理系统运维工作</w:t>
            </w:r>
          </w:p>
          <w:p>
            <w:pPr>
              <w:pStyle w:val="null3"/>
              <w:ind w:left="420"/>
              <w:jc w:val="both"/>
            </w:pPr>
            <w:r>
              <w:rPr>
                <w:rFonts w:ascii="仿宋_GB2312" w:hAnsi="仿宋_GB2312" w:cs="仿宋_GB2312" w:eastAsia="仿宋_GB2312"/>
                <w:sz w:val="20"/>
                <w:b/>
              </w:rPr>
              <w:t>(一)系统运维</w:t>
            </w:r>
          </w:p>
          <w:p>
            <w:pPr>
              <w:pStyle w:val="null3"/>
              <w:ind w:firstLine="400"/>
              <w:jc w:val="both"/>
            </w:pPr>
            <w:r>
              <w:rPr>
                <w:rFonts w:ascii="仿宋_GB2312" w:hAnsi="仿宋_GB2312" w:cs="仿宋_GB2312" w:eastAsia="仿宋_GB2312"/>
                <w:sz w:val="20"/>
              </w:rPr>
              <w:t>在服务有效期内，为陕西省的省级管理平台、疫苗追溯和冷链监测管理信息系统提供全面的运维服务，支持陕西省各级机构和接种单位在使用平台和接种端时的需求，包括使用支持、运维支持和安全支持。</w:t>
            </w:r>
          </w:p>
          <w:p>
            <w:pPr>
              <w:pStyle w:val="null3"/>
              <w:ind w:firstLine="400"/>
              <w:jc w:val="both"/>
            </w:pPr>
            <w:r>
              <w:rPr>
                <w:rFonts w:ascii="仿宋_GB2312" w:hAnsi="仿宋_GB2312" w:cs="仿宋_GB2312" w:eastAsia="仿宋_GB2312"/>
                <w:sz w:val="20"/>
              </w:rPr>
              <w:t>确保陕西省免疫规划信息管理系统的高效运行和顺畅管理。全省接种单位在此期间将获得全方位的支持，充分利用现有管理平台的功能与服务。根据疾控部门的业务需求，运维方将进行日常业务管理，并按计划实施软件更新与升级。</w:t>
            </w:r>
          </w:p>
          <w:p>
            <w:pPr>
              <w:pStyle w:val="null3"/>
              <w:ind w:firstLine="400"/>
              <w:jc w:val="both"/>
            </w:pPr>
            <w:r>
              <w:rPr>
                <w:rFonts w:ascii="仿宋_GB2312" w:hAnsi="仿宋_GB2312" w:cs="仿宋_GB2312" w:eastAsia="仿宋_GB2312"/>
                <w:sz w:val="20"/>
              </w:rPr>
              <w:t>陕西省接种单位有权享受免疫规划信息管理系统的运行支持，并可获取最新版本的升级服务，确保平台始终保持在先进的技术水平。运维单位将提供日常运行和业务管理服务，内容包括疾控部门（接种单位和管理部门）账号管理、权限设置、数据备份与恢复、系统日志监控、补丁安装、软件升级、漏洞修复、身份认证强化、数据加密传输及访问控制与审计机制的建立。</w:t>
            </w:r>
          </w:p>
          <w:p>
            <w:pPr>
              <w:pStyle w:val="null3"/>
              <w:ind w:firstLine="400"/>
              <w:jc w:val="both"/>
            </w:pPr>
            <w:r>
              <w:rPr>
                <w:rFonts w:ascii="仿宋_GB2312" w:hAnsi="仿宋_GB2312" w:cs="仿宋_GB2312" w:eastAsia="仿宋_GB2312"/>
                <w:sz w:val="20"/>
              </w:rPr>
              <w:t>建立紧急响应机制，及时处理平台出现的紧急问题和故障。运维单位确保平台的各项业务正常运行，保障疾控部门（接种单位和管理部门）能够顺利使用平台提供的功能和服务。</w:t>
            </w:r>
          </w:p>
          <w:p>
            <w:pPr>
              <w:pStyle w:val="null3"/>
              <w:ind w:firstLine="400"/>
              <w:jc w:val="both"/>
            </w:pPr>
            <w:r>
              <w:rPr>
                <w:rFonts w:ascii="仿宋_GB2312" w:hAnsi="仿宋_GB2312" w:cs="仿宋_GB2312" w:eastAsia="仿宋_GB2312"/>
                <w:sz w:val="20"/>
              </w:rPr>
              <w:t>业务系统运维：</w:t>
            </w:r>
          </w:p>
          <w:p>
            <w:pPr>
              <w:pStyle w:val="null3"/>
              <w:ind w:firstLine="400"/>
              <w:jc w:val="both"/>
            </w:pPr>
            <w:r>
              <w:rPr>
                <w:rFonts w:ascii="仿宋_GB2312" w:hAnsi="仿宋_GB2312" w:cs="仿宋_GB2312" w:eastAsia="仿宋_GB2312"/>
                <w:sz w:val="20"/>
              </w:rPr>
              <w:t>1、版本迭代：功能开发测试完成后，将更新版本发布部署到生产环境。</w:t>
            </w:r>
          </w:p>
          <w:p>
            <w:pPr>
              <w:pStyle w:val="null3"/>
              <w:ind w:firstLine="400"/>
              <w:jc w:val="both"/>
            </w:pPr>
            <w:r>
              <w:rPr>
                <w:rFonts w:ascii="仿宋_GB2312" w:hAnsi="仿宋_GB2312" w:cs="仿宋_GB2312" w:eastAsia="仿宋_GB2312"/>
                <w:sz w:val="20"/>
              </w:rPr>
              <w:t>2、稳定运维：版本迭代后，持续监测系统性能和稳定性，及时修复漏洞问题，提供维护支持，确保系统正常运行和疾控部门满意度。</w:t>
            </w:r>
          </w:p>
          <w:p>
            <w:pPr>
              <w:pStyle w:val="null3"/>
              <w:ind w:firstLine="400"/>
              <w:jc w:val="both"/>
            </w:pPr>
            <w:r>
              <w:rPr>
                <w:rFonts w:ascii="仿宋_GB2312" w:hAnsi="仿宋_GB2312" w:cs="仿宋_GB2312" w:eastAsia="仿宋_GB2312"/>
                <w:sz w:val="20"/>
              </w:rPr>
              <w:t>3、安全运维：定期对业务系统进行漏洞扫描，排除安全隐患。</w:t>
            </w:r>
          </w:p>
          <w:p>
            <w:pPr>
              <w:pStyle w:val="null3"/>
              <w:ind w:firstLine="400"/>
              <w:jc w:val="both"/>
            </w:pPr>
            <w:r>
              <w:rPr>
                <w:rFonts w:ascii="仿宋_GB2312" w:hAnsi="仿宋_GB2312" w:cs="仿宋_GB2312" w:eastAsia="仿宋_GB2312"/>
                <w:sz w:val="20"/>
              </w:rPr>
              <w:t>4、故障运维：及时响应业务系统故障，排除故障，解决相关问题，恢复系统可用。</w:t>
            </w:r>
          </w:p>
          <w:p>
            <w:pPr>
              <w:pStyle w:val="null3"/>
              <w:ind w:firstLine="400"/>
              <w:jc w:val="both"/>
            </w:pPr>
            <w:r>
              <w:rPr>
                <w:rFonts w:ascii="仿宋_GB2312" w:hAnsi="仿宋_GB2312" w:cs="仿宋_GB2312" w:eastAsia="仿宋_GB2312"/>
                <w:sz w:val="20"/>
              </w:rPr>
              <w:t>5、节点动态扩容：系统压力过大时，及时对业务系统节点扩容，保障疾控部门体验。</w:t>
            </w:r>
          </w:p>
          <w:p>
            <w:pPr>
              <w:pStyle w:val="null3"/>
              <w:ind w:firstLine="400"/>
              <w:jc w:val="both"/>
            </w:pPr>
            <w:r>
              <w:rPr>
                <w:rFonts w:ascii="仿宋_GB2312" w:hAnsi="仿宋_GB2312" w:cs="仿宋_GB2312" w:eastAsia="仿宋_GB2312"/>
                <w:sz w:val="20"/>
              </w:rPr>
              <w:t>6、三级等保维护：配合每年三级等保安全整改、补丁升级和漏洞修复，确保系统通过三级等保。</w:t>
            </w:r>
          </w:p>
          <w:p>
            <w:pPr>
              <w:pStyle w:val="null3"/>
              <w:ind w:firstLine="400"/>
              <w:jc w:val="both"/>
            </w:pPr>
            <w:r>
              <w:rPr>
                <w:rFonts w:ascii="仿宋_GB2312" w:hAnsi="仿宋_GB2312" w:cs="仿宋_GB2312" w:eastAsia="仿宋_GB2312"/>
                <w:sz w:val="20"/>
              </w:rPr>
              <w:t>7、运维月报总结：每月对免疫规划信息管理系统运维内容分类汇总，形成月度报告。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服务器运维：</w:t>
            </w:r>
          </w:p>
          <w:p>
            <w:pPr>
              <w:pStyle w:val="null3"/>
              <w:ind w:firstLine="400"/>
              <w:jc w:val="both"/>
            </w:pPr>
            <w:r>
              <w:rPr>
                <w:rFonts w:ascii="仿宋_GB2312" w:hAnsi="仿宋_GB2312" w:cs="仿宋_GB2312" w:eastAsia="仿宋_GB2312"/>
                <w:sz w:val="20"/>
              </w:rPr>
              <w:t>1、操作系统维护：定期进行操作系统安全补丁更新，修复已知漏洞，提高系统安全性。</w:t>
            </w:r>
          </w:p>
          <w:p>
            <w:pPr>
              <w:pStyle w:val="null3"/>
              <w:ind w:firstLine="400"/>
              <w:jc w:val="both"/>
            </w:pPr>
            <w:r>
              <w:rPr>
                <w:rFonts w:ascii="仿宋_GB2312" w:hAnsi="仿宋_GB2312" w:cs="仿宋_GB2312" w:eastAsia="仿宋_GB2312"/>
                <w:sz w:val="20"/>
              </w:rPr>
              <w:t>2、服务器巡检：每周巡检服务器内存、CPU、使用空间，及时发现并解决风险问题。</w:t>
            </w:r>
          </w:p>
          <w:p>
            <w:pPr>
              <w:pStyle w:val="null3"/>
              <w:ind w:firstLine="400"/>
              <w:jc w:val="both"/>
            </w:pPr>
            <w:r>
              <w:rPr>
                <w:rFonts w:ascii="仿宋_GB2312" w:hAnsi="仿宋_GB2312" w:cs="仿宋_GB2312" w:eastAsia="仿宋_GB2312"/>
                <w:sz w:val="20"/>
              </w:rPr>
              <w:t>3、服务器监控：监控服务器性能指标，如CPU、内存利用率和磁盘空间等，及时发现解决性能问题。</w:t>
            </w:r>
          </w:p>
          <w:p>
            <w:pPr>
              <w:pStyle w:val="null3"/>
              <w:ind w:firstLine="400"/>
              <w:jc w:val="both"/>
            </w:pPr>
            <w:r>
              <w:rPr>
                <w:rFonts w:ascii="仿宋_GB2312" w:hAnsi="仿宋_GB2312" w:cs="仿宋_GB2312" w:eastAsia="仿宋_GB2312"/>
                <w:sz w:val="20"/>
              </w:rPr>
              <w:t>4、服务器安全基线：参照公司标准配置生产服务器安全基线，保障业务系统安全。</w:t>
            </w:r>
          </w:p>
          <w:p>
            <w:pPr>
              <w:pStyle w:val="null3"/>
              <w:ind w:firstLine="400"/>
              <w:jc w:val="both"/>
            </w:pPr>
            <w:r>
              <w:rPr>
                <w:rFonts w:ascii="仿宋_GB2312" w:hAnsi="仿宋_GB2312" w:cs="仿宋_GB2312" w:eastAsia="仿宋_GB2312"/>
                <w:sz w:val="20"/>
              </w:rPr>
              <w:t>5、服务器安全：定期进行安全审计和漏洞扫描，修复潜在安全漏洞；定期更新管理疾控部门账户和权限，确保授权访问。</w:t>
            </w:r>
          </w:p>
          <w:p>
            <w:pPr>
              <w:pStyle w:val="null3"/>
              <w:ind w:firstLine="400"/>
              <w:jc w:val="both"/>
            </w:pPr>
            <w:r>
              <w:rPr>
                <w:rFonts w:ascii="仿宋_GB2312" w:hAnsi="仿宋_GB2312" w:cs="仿宋_GB2312" w:eastAsia="仿宋_GB2312"/>
                <w:sz w:val="20"/>
              </w:rPr>
              <w:t>6、服务器备份：定期备份操作系统重要配置文件，防止不可恢复故障。</w:t>
            </w:r>
          </w:p>
          <w:p>
            <w:pPr>
              <w:pStyle w:val="null3"/>
              <w:ind w:firstLine="400"/>
              <w:jc w:val="both"/>
            </w:pPr>
            <w:r>
              <w:rPr>
                <w:rFonts w:ascii="仿宋_GB2312" w:hAnsi="仿宋_GB2312" w:cs="仿宋_GB2312" w:eastAsia="仿宋_GB2312"/>
                <w:sz w:val="20"/>
              </w:rPr>
              <w:t>7、服务器扩容：针对全省应用部署，提供一次服务器硬盘扩容服务，支持全省高并发应用。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数据库运维：</w:t>
            </w:r>
          </w:p>
          <w:p>
            <w:pPr>
              <w:pStyle w:val="null3"/>
              <w:ind w:firstLine="400"/>
              <w:jc w:val="both"/>
            </w:pPr>
            <w:r>
              <w:rPr>
                <w:rFonts w:ascii="仿宋_GB2312" w:hAnsi="仿宋_GB2312" w:cs="仿宋_GB2312" w:eastAsia="仿宋_GB2312"/>
                <w:sz w:val="20"/>
              </w:rPr>
              <w:t>1、数据库备份与恢复：数据库管理员定期进行完整和增量备份，测试验证备份数据，确保可成功恢复；数据丢失、故障或灾难时，能快速恢复数据库。</w:t>
            </w:r>
          </w:p>
          <w:p>
            <w:pPr>
              <w:pStyle w:val="null3"/>
              <w:ind w:firstLine="400"/>
              <w:jc w:val="both"/>
            </w:pPr>
            <w:r>
              <w:rPr>
                <w:rFonts w:ascii="仿宋_GB2312" w:hAnsi="仿宋_GB2312" w:cs="仿宋_GB2312" w:eastAsia="仿宋_GB2312"/>
                <w:sz w:val="20"/>
              </w:rPr>
              <w:t>2、数据库性能优化：监控分析数据库性能指标，如查询响应时间、连接数、CPU和内存利用率等；通过优化查询语句、创建索引、调整参数等，提高查询效率和响应速度，提升系统整体性能。</w:t>
            </w:r>
          </w:p>
          <w:p>
            <w:pPr>
              <w:pStyle w:val="null3"/>
              <w:ind w:firstLine="400"/>
              <w:jc w:val="both"/>
            </w:pPr>
            <w:r>
              <w:rPr>
                <w:rFonts w:ascii="仿宋_GB2312" w:hAnsi="仿宋_GB2312" w:cs="仿宋_GB2312" w:eastAsia="仿宋_GB2312"/>
                <w:sz w:val="20"/>
              </w:rPr>
              <w:t>3、数据库安全管理：数据库管理员负责确保数据库安全，制定实施访问控制策略。 数据库管理：</w:t>
            </w:r>
          </w:p>
          <w:p>
            <w:pPr>
              <w:pStyle w:val="null3"/>
              <w:ind w:firstLine="400"/>
              <w:jc w:val="both"/>
            </w:pPr>
            <w:r>
              <w:rPr>
                <w:rFonts w:ascii="仿宋_GB2312" w:hAnsi="仿宋_GB2312" w:cs="仿宋_GB2312" w:eastAsia="仿宋_GB2312"/>
                <w:sz w:val="20"/>
              </w:rPr>
              <w:t>1. 管理疾控部门账户和权限，限制敏感数据访问，监控数据库安全事件与漏洞。定期安全审计和漏洞扫描，及时修补更新系统，防潜在威胁。</w:t>
            </w:r>
          </w:p>
          <w:p>
            <w:pPr>
              <w:pStyle w:val="null3"/>
              <w:ind w:firstLine="400"/>
              <w:jc w:val="both"/>
            </w:pPr>
            <w:r>
              <w:rPr>
                <w:rFonts w:ascii="仿宋_GB2312" w:hAnsi="仿宋_GB2312" w:cs="仿宋_GB2312" w:eastAsia="仿宋_GB2312"/>
                <w:sz w:val="20"/>
              </w:rPr>
              <w:t>2. 监控和管理数据库容量，评估增长趋势，依业务和存储资源规划容量，调整存储结构、分区或压缩数据，节约空间并提升性能。</w:t>
            </w:r>
          </w:p>
          <w:p>
            <w:pPr>
              <w:pStyle w:val="null3"/>
              <w:ind w:firstLine="400"/>
              <w:jc w:val="both"/>
            </w:pPr>
            <w:r>
              <w:rPr>
                <w:rFonts w:ascii="仿宋_GB2312" w:hAnsi="仿宋_GB2312" w:cs="仿宋_GB2312" w:eastAsia="仿宋_GB2312"/>
                <w:sz w:val="20"/>
              </w:rPr>
              <w:t>3. 数据库故障或异常时，迅速排查修复。分析错误日志，找出根源并采取措施，如重启服务、修复文件或执行恢复操作。</w:t>
            </w:r>
          </w:p>
          <w:p>
            <w:pPr>
              <w:pStyle w:val="null3"/>
              <w:ind w:firstLine="400"/>
              <w:jc w:val="both"/>
            </w:pPr>
            <w:r>
              <w:rPr>
                <w:rFonts w:ascii="仿宋_GB2312" w:hAnsi="仿宋_GB2312" w:cs="仿宋_GB2312" w:eastAsia="仿宋_GB2312"/>
                <w:sz w:val="20"/>
              </w:rPr>
              <w:t>4. 设置监控反馈系统，实时监测运行状态和性能指标，配置警报规则，异常时及时通知并行动，提前发现问题防系统故障。</w:t>
            </w:r>
          </w:p>
          <w:p>
            <w:pPr>
              <w:pStyle w:val="null3"/>
              <w:ind w:firstLine="400"/>
              <w:jc w:val="both"/>
            </w:pPr>
            <w:r>
              <w:rPr>
                <w:rFonts w:ascii="仿宋_GB2312" w:hAnsi="仿宋_GB2312" w:cs="仿宋_GB2312" w:eastAsia="仿宋_GB2312"/>
                <w:sz w:val="20"/>
              </w:rPr>
              <w:t>5. 定期关注数据库更新和新版本，评估对现有系统影响，制定升级计划，确保过程平稳，必要时备份和回滚。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中间件运维：</w:t>
            </w:r>
          </w:p>
          <w:p>
            <w:pPr>
              <w:pStyle w:val="null3"/>
              <w:ind w:firstLine="400"/>
              <w:jc w:val="both"/>
            </w:pPr>
            <w:r>
              <w:rPr>
                <w:rFonts w:ascii="仿宋_GB2312" w:hAnsi="仿宋_GB2312" w:cs="仿宋_GB2312" w:eastAsia="仿宋_GB2312"/>
                <w:sz w:val="20"/>
              </w:rPr>
              <w:t>1. 安装中间件软件并按要求配置参数和选项，满足应用和系统需求。</w:t>
            </w:r>
          </w:p>
          <w:p>
            <w:pPr>
              <w:pStyle w:val="null3"/>
              <w:ind w:firstLine="400"/>
              <w:jc w:val="both"/>
            </w:pPr>
            <w:r>
              <w:rPr>
                <w:rFonts w:ascii="仿宋_GB2312" w:hAnsi="仿宋_GB2312" w:cs="仿宋_GB2312" w:eastAsia="仿宋_GB2312"/>
                <w:sz w:val="20"/>
              </w:rPr>
              <w:t>2. 监控运行状态和性能指标，如内存、CPU、连接数等，设置警报通知机制，故障或性能下降时及时通知。</w:t>
            </w:r>
          </w:p>
          <w:p>
            <w:pPr>
              <w:pStyle w:val="null3"/>
              <w:ind w:firstLine="400"/>
              <w:jc w:val="both"/>
            </w:pPr>
            <w:r>
              <w:rPr>
                <w:rFonts w:ascii="仿宋_GB2312" w:hAnsi="仿宋_GB2312" w:cs="仿宋_GB2312" w:eastAsia="仿宋_GB2312"/>
                <w:sz w:val="20"/>
              </w:rPr>
              <w:t>3. 依据监控数据优化性能，如调整缓存大小、优化连接池配置，提升响应速度。</w:t>
            </w:r>
          </w:p>
          <w:p>
            <w:pPr>
              <w:pStyle w:val="null3"/>
              <w:ind w:firstLine="400"/>
              <w:jc w:val="both"/>
            </w:pPr>
            <w:r>
              <w:rPr>
                <w:rFonts w:ascii="仿宋_GB2312" w:hAnsi="仿宋_GB2312" w:cs="仿宋_GB2312" w:eastAsia="仿宋_GB2312"/>
                <w:sz w:val="20"/>
              </w:rPr>
              <w:t>4. 配置管理安全功能，如身份验证、访问控制、加密等，定期更新安全补丁，监控安全日志和事件，应对安全威胁。</w:t>
            </w:r>
          </w:p>
          <w:p>
            <w:pPr>
              <w:pStyle w:val="null3"/>
              <w:ind w:firstLine="400"/>
              <w:jc w:val="both"/>
            </w:pPr>
            <w:r>
              <w:rPr>
                <w:rFonts w:ascii="仿宋_GB2312" w:hAnsi="仿宋_GB2312" w:cs="仿宋_GB2312" w:eastAsia="仿宋_GB2312"/>
                <w:sz w:val="20"/>
              </w:rPr>
              <w:t>5. 监控错误日志和异常，及时解决故障，配置恢复机制，如自动重启、故障转移，确保高可用性和可靠性，进行灾难恢复测试验证有效性。</w:t>
            </w:r>
          </w:p>
          <w:p>
            <w:pPr>
              <w:pStyle w:val="null3"/>
              <w:ind w:firstLine="400"/>
              <w:jc w:val="both"/>
            </w:pPr>
            <w:r>
              <w:rPr>
                <w:rFonts w:ascii="仿宋_GB2312" w:hAnsi="仿宋_GB2312" w:cs="仿宋_GB2312" w:eastAsia="仿宋_GB2312"/>
                <w:sz w:val="20"/>
              </w:rPr>
              <w:t>6. 定期升级和管理中间件版本，获取新功能和修复问题，管理版本库和文档，便于追踪回溯。</w:t>
            </w:r>
          </w:p>
          <w:p>
            <w:pPr>
              <w:pStyle w:val="null3"/>
              <w:ind w:firstLine="400"/>
              <w:jc w:val="both"/>
            </w:pPr>
            <w:r>
              <w:rPr>
                <w:rFonts w:ascii="仿宋_GB2312" w:hAnsi="仿宋_GB2312" w:cs="仿宋_GB2312" w:eastAsia="仿宋_GB2312"/>
                <w:sz w:val="20"/>
              </w:rPr>
              <w:t>7. 监控中间件资源利用情况。</w:t>
            </w:r>
          </w:p>
          <w:p>
            <w:pPr>
              <w:pStyle w:val="null3"/>
              <w:ind w:left="420"/>
              <w:jc w:val="both"/>
            </w:pPr>
            <w:r>
              <w:rPr>
                <w:rFonts w:ascii="仿宋_GB2312" w:hAnsi="仿宋_GB2312" w:cs="仿宋_GB2312" w:eastAsia="仿宋_GB2312"/>
                <w:sz w:val="20"/>
                <w:b/>
              </w:rPr>
              <w:t>（</w:t>
            </w:r>
            <w:r>
              <w:rPr>
                <w:rFonts w:ascii="仿宋_GB2312" w:hAnsi="仿宋_GB2312" w:cs="仿宋_GB2312" w:eastAsia="仿宋_GB2312"/>
                <w:sz w:val="20"/>
                <w:b/>
              </w:rPr>
              <w:t>五）</w:t>
            </w:r>
            <w:r>
              <w:rPr>
                <w:rFonts w:ascii="仿宋_GB2312" w:hAnsi="仿宋_GB2312" w:cs="仿宋_GB2312" w:eastAsia="仿宋_GB2312"/>
                <w:sz w:val="20"/>
                <w:b/>
              </w:rPr>
              <w:t>数据交换运维与监管：</w:t>
            </w:r>
          </w:p>
          <w:p>
            <w:pPr>
              <w:pStyle w:val="null3"/>
              <w:ind w:firstLine="400"/>
              <w:jc w:val="both"/>
            </w:pPr>
            <w:r>
              <w:rPr>
                <w:rFonts w:ascii="仿宋_GB2312" w:hAnsi="仿宋_GB2312" w:cs="仿宋_GB2312" w:eastAsia="仿宋_GB2312"/>
                <w:b/>
              </w:rPr>
              <w:t xml:space="preserve">   </w:t>
            </w:r>
            <w:r>
              <w:rPr>
                <w:rFonts w:ascii="仿宋_GB2312" w:hAnsi="仿宋_GB2312" w:cs="仿宋_GB2312" w:eastAsia="仿宋_GB2312"/>
                <w:sz w:val="20"/>
                <w:b/>
              </w:rPr>
              <w:t>与国家免疫规划信息管理系统数据交换</w:t>
            </w:r>
            <w:r>
              <w:rPr>
                <w:rFonts w:ascii="仿宋_GB2312" w:hAnsi="仿宋_GB2312" w:cs="仿宋_GB2312" w:eastAsia="仿宋_GB2312"/>
                <w:sz w:val="20"/>
              </w:rPr>
              <w:t>：监管和更新省级管理平台与国家免疫规划信息系统的数据交换，确保受种者档案等信息上传。</w:t>
            </w:r>
          </w:p>
          <w:p>
            <w:pPr>
              <w:pStyle w:val="null3"/>
              <w:ind w:firstLine="400"/>
              <w:jc w:val="both"/>
            </w:pPr>
            <w:r>
              <w:rPr>
                <w:rFonts w:ascii="仿宋_GB2312" w:hAnsi="仿宋_GB2312" w:cs="仿宋_GB2312" w:eastAsia="仿宋_GB2312"/>
                <w:sz w:val="20"/>
                <w:b/>
              </w:rPr>
              <w:t xml:space="preserve">   </w:t>
            </w:r>
            <w:r>
              <w:rPr>
                <w:rFonts w:ascii="仿宋_GB2312" w:hAnsi="仿宋_GB2312" w:cs="仿宋_GB2312" w:eastAsia="仿宋_GB2312"/>
                <w:sz w:val="20"/>
                <w:b/>
              </w:rPr>
              <w:t>与全国疫苗协同服务平台数据交换</w:t>
            </w:r>
            <w:r>
              <w:rPr>
                <w:rFonts w:ascii="仿宋_GB2312" w:hAnsi="仿宋_GB2312" w:cs="仿宋_GB2312" w:eastAsia="仿宋_GB2312"/>
                <w:sz w:val="20"/>
              </w:rPr>
              <w:t>：监管省级管理平台与全国疫苗协同服务平台的数据交换，接收采购入库单据等，上传疫苗流通信息。</w:t>
            </w:r>
          </w:p>
          <w:p>
            <w:pPr>
              <w:pStyle w:val="null3"/>
              <w:ind w:firstLine="400"/>
              <w:jc w:val="both"/>
            </w:pPr>
            <w:r>
              <w:rPr>
                <w:rFonts w:ascii="仿宋_GB2312" w:hAnsi="仿宋_GB2312" w:cs="仿宋_GB2312" w:eastAsia="仿宋_GB2312"/>
                <w:sz w:val="20"/>
                <w:b/>
              </w:rPr>
              <w:t xml:space="preserve">   </w:t>
            </w:r>
            <w:r>
              <w:rPr>
                <w:rFonts w:ascii="仿宋_GB2312" w:hAnsi="仿宋_GB2312" w:cs="仿宋_GB2312" w:eastAsia="仿宋_GB2312"/>
                <w:sz w:val="20"/>
                <w:b/>
              </w:rPr>
              <w:t>疫苗冷链温度监测数据对接</w:t>
            </w:r>
            <w:r>
              <w:rPr>
                <w:rFonts w:ascii="仿宋_GB2312" w:hAnsi="仿宋_GB2312" w:cs="仿宋_GB2312" w:eastAsia="仿宋_GB2312"/>
                <w:sz w:val="20"/>
              </w:rPr>
              <w:t>：监管省级管理平台与第三方冷链设备温度监测数据上传，</w:t>
            </w:r>
            <w:r>
              <w:rPr>
                <w:rFonts w:ascii="仿宋_GB2312" w:hAnsi="仿宋_GB2312" w:cs="仿宋_GB2312" w:eastAsia="仿宋_GB2312"/>
                <w:sz w:val="20"/>
              </w:rPr>
              <w:t>新增</w:t>
            </w:r>
            <w:r>
              <w:rPr>
                <w:rFonts w:ascii="仿宋_GB2312" w:hAnsi="仿宋_GB2312" w:cs="仿宋_GB2312" w:eastAsia="仿宋_GB2312"/>
                <w:sz w:val="20"/>
                <w:color w:val="000000"/>
              </w:rPr>
              <w:t>冷链管理平台钉钉数据预警功能。</w:t>
            </w:r>
          </w:p>
          <w:p>
            <w:pPr>
              <w:pStyle w:val="null3"/>
              <w:ind w:left="420"/>
              <w:jc w:val="both"/>
            </w:pPr>
            <w:r>
              <w:rPr>
                <w:rFonts w:ascii="仿宋_GB2312" w:hAnsi="仿宋_GB2312" w:cs="仿宋_GB2312" w:eastAsia="仿宋_GB2312"/>
                <w:sz w:val="20"/>
                <w:b/>
              </w:rPr>
              <w:t>（</w:t>
            </w:r>
            <w:r>
              <w:rPr>
                <w:rFonts w:ascii="仿宋_GB2312" w:hAnsi="仿宋_GB2312" w:cs="仿宋_GB2312" w:eastAsia="仿宋_GB2312"/>
                <w:sz w:val="20"/>
                <w:b/>
              </w:rPr>
              <w:t>六）</w:t>
            </w:r>
            <w:r>
              <w:rPr>
                <w:rFonts w:ascii="仿宋_GB2312" w:hAnsi="仿宋_GB2312" w:cs="仿宋_GB2312" w:eastAsia="仿宋_GB2312"/>
                <w:sz w:val="20"/>
                <w:b/>
              </w:rPr>
              <w:t>安全运维：</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运维方按国家标准强制要求维护，发现安全风险立即补救，告知疾控部门并报告主管部门。</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按网络安全等级保护制度要求履行安全保护义务，发生网络安全事件及时调查评估、消除隐患，因运维方原因致事件或处置不当需担责。</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建立和维护操作系统、中间件、数据库安全基线，确保系统稳定运行。</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建立运维安全管理制度，规定安全策略等方面内容。</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确保远程运维连接获授权批准，审批后开通接口或通道，保留审计日志。</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实施安全事件报告和处置管理机制。</w:t>
            </w:r>
          </w:p>
          <w:p>
            <w:pPr>
              <w:pStyle w:val="null3"/>
              <w:ind w:left="420"/>
              <w:jc w:val="both"/>
            </w:pPr>
            <w:r>
              <w:rPr>
                <w:rFonts w:ascii="仿宋_GB2312" w:hAnsi="仿宋_GB2312" w:cs="仿宋_GB2312" w:eastAsia="仿宋_GB2312"/>
                <w:sz w:val="20"/>
                <w:b/>
              </w:rPr>
              <w:t>（七）省级免疫规划信息管理系统平台功能完善</w:t>
            </w:r>
          </w:p>
          <w:p>
            <w:pPr>
              <w:pStyle w:val="null3"/>
              <w:ind w:firstLine="402"/>
              <w:jc w:val="left"/>
            </w:pPr>
            <w:r>
              <w:rPr>
                <w:rFonts w:ascii="仿宋_GB2312" w:hAnsi="仿宋_GB2312" w:cs="仿宋_GB2312" w:eastAsia="仿宋_GB2312"/>
                <w:b/>
              </w:rPr>
              <w:t xml:space="preserve">  </w:t>
            </w:r>
            <w:r>
              <w:rPr>
                <w:rFonts w:ascii="仿宋_GB2312" w:hAnsi="仿宋_GB2312" w:cs="仿宋_GB2312" w:eastAsia="仿宋_GB2312"/>
                <w:b/>
              </w:rPr>
              <w:t xml:space="preserve">  </w:t>
            </w:r>
            <w:r>
              <w:rPr>
                <w:rFonts w:ascii="仿宋_GB2312" w:hAnsi="仿宋_GB2312" w:cs="仿宋_GB2312" w:eastAsia="仿宋_GB2312"/>
                <w:sz w:val="20"/>
                <w:b/>
                <w:color w:val="000000"/>
              </w:rPr>
              <w:t>百白破接种及时率统计</w:t>
            </w:r>
            <w:r>
              <w:rPr>
                <w:rFonts w:ascii="仿宋_GB2312" w:hAnsi="仿宋_GB2312" w:cs="仿宋_GB2312" w:eastAsia="仿宋_GB2312"/>
                <w:b/>
              </w:rPr>
              <w:t>：</w:t>
            </w:r>
            <w:r>
              <w:rPr>
                <w:rFonts w:ascii="仿宋_GB2312" w:hAnsi="仿宋_GB2312" w:cs="仿宋_GB2312" w:eastAsia="仿宋_GB2312"/>
                <w:sz w:val="20"/>
                <w:color w:val="000000"/>
              </w:rPr>
              <w:t>新增百白破</w:t>
            </w:r>
            <w:r>
              <w:rPr>
                <w:rFonts w:ascii="仿宋_GB2312" w:hAnsi="仿宋_GB2312" w:cs="仿宋_GB2312" w:eastAsia="仿宋_GB2312"/>
                <w:sz w:val="20"/>
                <w:color w:val="000000"/>
              </w:rPr>
              <w:t>2、3月龄首针及时接种情况；</w:t>
            </w:r>
          </w:p>
          <w:p>
            <w:pPr>
              <w:pStyle w:val="null3"/>
              <w:ind w:firstLine="402"/>
              <w:jc w:val="left"/>
            </w:pPr>
            <w:r>
              <w:rPr>
                <w:rFonts w:ascii="仿宋_GB2312" w:hAnsi="仿宋_GB2312" w:cs="仿宋_GB2312" w:eastAsia="仿宋_GB2312"/>
                <w:b/>
              </w:rPr>
              <w:t xml:space="preserve">   </w:t>
            </w:r>
            <w:r>
              <w:rPr>
                <w:rFonts w:ascii="仿宋_GB2312" w:hAnsi="仿宋_GB2312" w:cs="仿宋_GB2312" w:eastAsia="仿宋_GB2312"/>
                <w:b/>
              </w:rPr>
              <w:t xml:space="preserve"> </w:t>
            </w:r>
            <w:r>
              <w:rPr>
                <w:rFonts w:ascii="仿宋_GB2312" w:hAnsi="仿宋_GB2312" w:cs="仿宋_GB2312" w:eastAsia="仿宋_GB2312"/>
                <w:sz w:val="20"/>
                <w:b/>
                <w:color w:val="000000"/>
              </w:rPr>
              <w:t>业务类型报表统计</w:t>
            </w:r>
            <w:r>
              <w:rPr>
                <w:rFonts w:ascii="仿宋_GB2312" w:hAnsi="仿宋_GB2312" w:cs="仿宋_GB2312" w:eastAsia="仿宋_GB2312"/>
              </w:rPr>
              <w:t>：</w:t>
            </w:r>
            <w:r>
              <w:rPr>
                <w:rFonts w:ascii="仿宋_GB2312" w:hAnsi="仿宋_GB2312" w:cs="仿宋_GB2312" w:eastAsia="仿宋_GB2312"/>
                <w:sz w:val="20"/>
                <w:color w:val="000000"/>
              </w:rPr>
              <w:t>新增区分业务类型展示及该业务统计算法；</w:t>
            </w:r>
          </w:p>
          <w:p>
            <w:pPr>
              <w:pStyle w:val="null3"/>
              <w:ind w:firstLine="402"/>
              <w:jc w:val="left"/>
            </w:pPr>
            <w:r>
              <w:rPr>
                <w:rFonts w:ascii="仿宋_GB2312" w:hAnsi="仿宋_GB2312" w:cs="仿宋_GB2312" w:eastAsia="仿宋_GB2312"/>
                <w:b/>
              </w:rPr>
              <w:t xml:space="preserve">    </w:t>
            </w:r>
            <w:r>
              <w:rPr>
                <w:rFonts w:ascii="仿宋_GB2312" w:hAnsi="仿宋_GB2312" w:cs="仿宋_GB2312" w:eastAsia="仿宋_GB2312"/>
                <w:sz w:val="20"/>
                <w:b/>
                <w:color w:val="000000"/>
              </w:rPr>
              <w:t>HPV临期未种统计</w:t>
            </w:r>
            <w:r>
              <w:rPr>
                <w:rFonts w:ascii="仿宋_GB2312" w:hAnsi="仿宋_GB2312" w:cs="仿宋_GB2312" w:eastAsia="仿宋_GB2312"/>
                <w:b/>
              </w:rPr>
              <w:t>：</w:t>
            </w:r>
            <w:r>
              <w:rPr>
                <w:rFonts w:ascii="仿宋_GB2312" w:hAnsi="仿宋_GB2312" w:cs="仿宋_GB2312" w:eastAsia="仿宋_GB2312"/>
                <w:sz w:val="20"/>
                <w:color w:val="000000"/>
              </w:rPr>
              <w:t>新增上一剂</w:t>
            </w:r>
            <w:r>
              <w:rPr>
                <w:rFonts w:ascii="仿宋_GB2312" w:hAnsi="仿宋_GB2312" w:cs="仿宋_GB2312" w:eastAsia="仿宋_GB2312"/>
                <w:sz w:val="20"/>
                <w:color w:val="000000"/>
              </w:rPr>
              <w:t>HPV接种单位；</w:t>
            </w:r>
          </w:p>
          <w:p>
            <w:pPr>
              <w:pStyle w:val="null3"/>
              <w:ind w:firstLine="402"/>
              <w:jc w:val="left"/>
            </w:pPr>
            <w:r>
              <w:rPr>
                <w:rFonts w:ascii="仿宋_GB2312" w:hAnsi="仿宋_GB2312" w:cs="仿宋_GB2312" w:eastAsia="仿宋_GB2312"/>
                <w:b/>
              </w:rPr>
              <w:t xml:space="preserve">    </w:t>
            </w:r>
            <w:r>
              <w:rPr>
                <w:rFonts w:ascii="仿宋_GB2312" w:hAnsi="仿宋_GB2312" w:cs="仿宋_GB2312" w:eastAsia="仿宋_GB2312"/>
                <w:sz w:val="20"/>
                <w:b/>
                <w:color w:val="000000"/>
              </w:rPr>
              <w:t>规范接种及时接种率统计</w:t>
            </w:r>
            <w:r>
              <w:rPr>
                <w:rFonts w:ascii="仿宋_GB2312" w:hAnsi="仿宋_GB2312" w:cs="仿宋_GB2312" w:eastAsia="仿宋_GB2312"/>
              </w:rPr>
              <w:t>：</w:t>
            </w:r>
            <w:r>
              <w:rPr>
                <w:rFonts w:ascii="仿宋_GB2312" w:hAnsi="仿宋_GB2312" w:cs="仿宋_GB2312" w:eastAsia="仿宋_GB2312"/>
                <w:sz w:val="20"/>
                <w:color w:val="000000"/>
              </w:rPr>
              <w:t>新增按区域划分显示。</w:t>
            </w:r>
          </w:p>
          <w:p>
            <w:pPr>
              <w:pStyle w:val="null3"/>
              <w:ind w:left="420"/>
              <w:jc w:val="both"/>
            </w:pPr>
            <w:r>
              <w:rPr>
                <w:rFonts w:ascii="仿宋_GB2312" w:hAnsi="仿宋_GB2312" w:cs="仿宋_GB2312" w:eastAsia="仿宋_GB2312"/>
                <w:sz w:val="20"/>
                <w:b/>
              </w:rPr>
              <w:t xml:space="preserve"> </w:t>
            </w:r>
            <w:r>
              <w:rPr>
                <w:rFonts w:ascii="仿宋_GB2312" w:hAnsi="仿宋_GB2312" w:cs="仿宋_GB2312" w:eastAsia="仿宋_GB2312"/>
                <w:sz w:val="20"/>
                <w:b/>
              </w:rPr>
              <w:t>（八）省级疫苗追溯系统功能完善</w:t>
            </w:r>
          </w:p>
          <w:p>
            <w:pPr>
              <w:pStyle w:val="null3"/>
              <w:ind w:left="420"/>
              <w:jc w:val="both"/>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b/>
              </w:rPr>
              <w:t xml:space="preserve"> </w:t>
            </w:r>
            <w:r>
              <w:rPr>
                <w:rFonts w:ascii="仿宋_GB2312" w:hAnsi="仿宋_GB2312" w:cs="仿宋_GB2312" w:eastAsia="仿宋_GB2312"/>
                <w:sz w:val="20"/>
                <w:b/>
              </w:rPr>
              <w:t>疫苗追溯</w:t>
            </w:r>
            <w:r>
              <w:rPr>
                <w:rFonts w:ascii="仿宋_GB2312" w:hAnsi="仿宋_GB2312" w:cs="仿宋_GB2312" w:eastAsia="仿宋_GB2312"/>
                <w:sz w:val="20"/>
                <w:b/>
              </w:rPr>
              <w:t>系统功能升级</w:t>
            </w:r>
          </w:p>
          <w:p>
            <w:pPr>
              <w:pStyle w:val="null3"/>
              <w:ind w:left="420" w:firstLine="402"/>
              <w:jc w:val="both"/>
            </w:pPr>
            <w:r>
              <w:rPr>
                <w:rFonts w:ascii="仿宋_GB2312" w:hAnsi="仿宋_GB2312" w:cs="仿宋_GB2312" w:eastAsia="仿宋_GB2312"/>
                <w:sz w:val="20"/>
                <w:b/>
                <w:color w:val="000000"/>
              </w:rPr>
              <w:t>追溯菜单调整</w:t>
            </w:r>
            <w:r>
              <w:rPr>
                <w:rFonts w:ascii="仿宋_GB2312" w:hAnsi="仿宋_GB2312" w:cs="仿宋_GB2312" w:eastAsia="仿宋_GB2312"/>
                <w:sz w:val="20"/>
                <w:color w:val="000000"/>
              </w:rPr>
              <w:t>：优化菜单，移除计划入库等；改名并同步调整部分菜单，如到货入库改为供应入库等。</w:t>
            </w:r>
          </w:p>
          <w:p>
            <w:pPr>
              <w:pStyle w:val="null3"/>
              <w:ind w:left="420" w:firstLine="402"/>
              <w:jc w:val="both"/>
            </w:pPr>
            <w:r>
              <w:rPr>
                <w:rFonts w:ascii="仿宋_GB2312" w:hAnsi="仿宋_GB2312" w:cs="仿宋_GB2312" w:eastAsia="仿宋_GB2312"/>
                <w:sz w:val="20"/>
                <w:b/>
                <w:color w:val="000000"/>
              </w:rPr>
              <w:t>入库单功能优化</w:t>
            </w:r>
            <w:r>
              <w:rPr>
                <w:rFonts w:ascii="仿宋_GB2312" w:hAnsi="仿宋_GB2312" w:cs="仿宋_GB2312" w:eastAsia="仿宋_GB2312"/>
                <w:sz w:val="20"/>
                <w:color w:val="000000"/>
              </w:rPr>
              <w:t>：按国家平台规范统一入库相关名称；新增单据</w:t>
            </w:r>
            <w:r>
              <w:rPr>
                <w:rFonts w:ascii="仿宋_GB2312" w:hAnsi="仿宋_GB2312" w:cs="仿宋_GB2312" w:eastAsia="仿宋_GB2312"/>
                <w:sz w:val="20"/>
                <w:color w:val="000000"/>
              </w:rPr>
              <w:t>title区分显示；新增调拨入库功能，优化调拨出库；添加运输日志记录查看入口。</w:t>
            </w:r>
          </w:p>
          <w:p>
            <w:pPr>
              <w:pStyle w:val="null3"/>
              <w:ind w:left="420" w:firstLine="402"/>
              <w:jc w:val="both"/>
            </w:pPr>
            <w:r>
              <w:rPr>
                <w:rFonts w:ascii="仿宋_GB2312" w:hAnsi="仿宋_GB2312" w:cs="仿宋_GB2312" w:eastAsia="仿宋_GB2312"/>
                <w:sz w:val="20"/>
                <w:b/>
                <w:color w:val="000000"/>
              </w:rPr>
              <w:t>出库单功能优化</w:t>
            </w:r>
            <w:r>
              <w:rPr>
                <w:rFonts w:ascii="仿宋_GB2312" w:hAnsi="仿宋_GB2312" w:cs="仿宋_GB2312" w:eastAsia="仿宋_GB2312"/>
                <w:sz w:val="20"/>
                <w:color w:val="000000"/>
              </w:rPr>
              <w:t>：新增部分出库信息补充起运时间；按国家平台规范补充销毁出库信息；统一出库相关名称；新增单据</w:t>
            </w:r>
            <w:r>
              <w:rPr>
                <w:rFonts w:ascii="仿宋_GB2312" w:hAnsi="仿宋_GB2312" w:cs="仿宋_GB2312" w:eastAsia="仿宋_GB2312"/>
                <w:sz w:val="20"/>
                <w:color w:val="000000"/>
              </w:rPr>
              <w:t>title区分显示；调整起运时间填写规则；优化报废出库/入库逻辑；添加运输日志记录查看入口。</w:t>
            </w:r>
          </w:p>
          <w:p>
            <w:pPr>
              <w:pStyle w:val="null3"/>
              <w:ind w:firstLine="420"/>
              <w:jc w:val="both"/>
            </w:pPr>
            <w:r>
              <w:rPr>
                <w:rFonts w:ascii="仿宋_GB2312" w:hAnsi="仿宋_GB2312" w:cs="仿宋_GB2312" w:eastAsia="仿宋_GB2312"/>
                <w:b/>
              </w:rPr>
              <w:t xml:space="preserve">   </w:t>
            </w:r>
            <w:r>
              <w:rPr>
                <w:rFonts w:ascii="仿宋_GB2312" w:hAnsi="仿宋_GB2312" w:cs="仿宋_GB2312" w:eastAsia="仿宋_GB2312"/>
                <w:sz w:val="20"/>
                <w:b/>
                <w:color w:val="000000"/>
              </w:rPr>
              <w:t>报表优化与新增：疫苗损耗报表</w:t>
            </w:r>
            <w:r>
              <w:rPr>
                <w:rFonts w:ascii="仿宋_GB2312" w:hAnsi="仿宋_GB2312" w:cs="仿宋_GB2312" w:eastAsia="仿宋_GB2312"/>
                <w:sz w:val="20"/>
                <w:color w:val="000000"/>
              </w:rPr>
              <w:t>新增</w:t>
            </w:r>
            <w:r>
              <w:rPr>
                <w:rFonts w:ascii="仿宋_GB2312" w:hAnsi="仿宋_GB2312" w:cs="仿宋_GB2312" w:eastAsia="仿宋_GB2312"/>
                <w:sz w:val="20"/>
                <w:color w:val="000000"/>
              </w:rPr>
              <w:t>“损耗系数”列并排除报废数</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库存预警报表</w:t>
            </w:r>
            <w:r>
              <w:rPr>
                <w:rFonts w:ascii="仿宋_GB2312" w:hAnsi="仿宋_GB2312" w:cs="仿宋_GB2312" w:eastAsia="仿宋_GB2312"/>
                <w:sz w:val="20"/>
                <w:color w:val="000000"/>
              </w:rPr>
              <w:t>根据每日固化数据生成。</w:t>
            </w:r>
          </w:p>
          <w:p>
            <w:pPr>
              <w:pStyle w:val="null3"/>
              <w:ind w:firstLine="420"/>
              <w:jc w:val="both"/>
            </w:pPr>
            <w:r>
              <w:rPr>
                <w:rFonts w:ascii="仿宋_GB2312" w:hAnsi="仿宋_GB2312" w:cs="仿宋_GB2312" w:eastAsia="仿宋_GB2312"/>
                <w:sz w:val="20"/>
                <w:b/>
              </w:rPr>
              <w:t>1.5.</w:t>
            </w:r>
            <w:r>
              <w:rPr>
                <w:rFonts w:ascii="仿宋_GB2312" w:hAnsi="仿宋_GB2312" w:cs="仿宋_GB2312" w:eastAsia="仿宋_GB2312"/>
                <w:sz w:val="20"/>
                <w:b/>
                <w:color w:val="000000"/>
              </w:rPr>
              <w:t>追溯统计功能优化</w:t>
            </w:r>
          </w:p>
          <w:p>
            <w:pPr>
              <w:pStyle w:val="null3"/>
              <w:ind w:firstLine="420"/>
              <w:jc w:val="left"/>
            </w:pPr>
            <w:r>
              <w:rPr>
                <w:rFonts w:ascii="仿宋_GB2312" w:hAnsi="仿宋_GB2312" w:cs="仿宋_GB2312" w:eastAsia="仿宋_GB2312"/>
                <w:sz w:val="20"/>
                <w:color w:val="000000"/>
              </w:rPr>
              <w:t>新增报废、损坏、销毁的出入库数展示，新增计算超时致无数据。</w:t>
            </w:r>
          </w:p>
          <w:p>
            <w:pPr>
              <w:pStyle w:val="null3"/>
              <w:ind w:firstLine="420"/>
              <w:jc w:val="both"/>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color w:val="000000"/>
              </w:rPr>
              <w:t>系统功能验证与基础信息调整</w:t>
            </w:r>
          </w:p>
          <w:p>
            <w:pPr>
              <w:pStyle w:val="null3"/>
              <w:ind w:firstLine="420"/>
              <w:jc w:val="both"/>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color w:val="000000"/>
              </w:rPr>
              <w:t>盘点提醒</w:t>
            </w:r>
          </w:p>
          <w:p>
            <w:pPr>
              <w:pStyle w:val="null3"/>
              <w:ind w:firstLine="420"/>
              <w:jc w:val="left"/>
            </w:pPr>
            <w:r>
              <w:rPr>
                <w:rFonts w:ascii="仿宋_GB2312" w:hAnsi="仿宋_GB2312" w:cs="仿宋_GB2312" w:eastAsia="仿宋_GB2312"/>
                <w:sz w:val="20"/>
                <w:color w:val="000000"/>
              </w:rPr>
              <w:t>新增疫苗月度、整库盘点未扫描追溯码时，审核阶段触发提醒。</w:t>
            </w:r>
          </w:p>
          <w:p>
            <w:pPr>
              <w:pStyle w:val="null3"/>
              <w:ind w:firstLine="420"/>
              <w:jc w:val="left"/>
            </w:pPr>
            <w:r>
              <w:rPr>
                <w:rFonts w:ascii="仿宋_GB2312" w:hAnsi="仿宋_GB2312" w:cs="仿宋_GB2312" w:eastAsia="仿宋_GB2312"/>
                <w:sz w:val="20"/>
                <w:b/>
                <w:color w:val="000000"/>
              </w:rPr>
              <w:t>1.6.2基础信息调整</w:t>
            </w:r>
          </w:p>
          <w:p>
            <w:pPr>
              <w:pStyle w:val="null3"/>
              <w:ind w:firstLine="420"/>
              <w:jc w:val="both"/>
            </w:pPr>
            <w:r>
              <w:rPr>
                <w:rFonts w:ascii="仿宋_GB2312" w:hAnsi="仿宋_GB2312" w:cs="仿宋_GB2312" w:eastAsia="仿宋_GB2312"/>
                <w:sz w:val="20"/>
                <w:color w:val="000000"/>
              </w:rPr>
              <w:t>将库存设备和物资的</w:t>
            </w:r>
            <w:r>
              <w:rPr>
                <w:rFonts w:ascii="仿宋_GB2312" w:hAnsi="仿宋_GB2312" w:cs="仿宋_GB2312" w:eastAsia="仿宋_GB2312"/>
                <w:sz w:val="20"/>
                <w:color w:val="000000"/>
              </w:rPr>
              <w:t>“设备编码”调整为“设备序列号”。</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九</w:t>
            </w:r>
            <w:r>
              <w:rPr>
                <w:rFonts w:ascii="仿宋_GB2312" w:hAnsi="仿宋_GB2312" w:cs="仿宋_GB2312" w:eastAsia="仿宋_GB2312"/>
                <w:sz w:val="20"/>
                <w:b/>
              </w:rPr>
              <w:t>)</w:t>
            </w:r>
            <w:r>
              <w:rPr>
                <w:rFonts w:ascii="仿宋_GB2312" w:hAnsi="仿宋_GB2312" w:cs="仿宋_GB2312" w:eastAsia="仿宋_GB2312"/>
                <w:sz w:val="20"/>
                <w:b/>
                <w:color w:val="000000"/>
              </w:rPr>
              <w:t>国家免疫规划百白破疫苗和白破疫苗免疫程序调整实施技术方案。</w:t>
            </w:r>
            <w:r>
              <w:rPr>
                <w:rFonts w:ascii="仿宋_GB2312" w:hAnsi="仿宋_GB2312" w:cs="仿宋_GB2312" w:eastAsia="仿宋_GB2312"/>
                <w:sz w:val="20"/>
                <w:color w:val="000000"/>
              </w:rPr>
              <w:t>调整百白破和白破疫苗免疫程序，为接种登记和监测报表提供依据，改造公众服务显示、预约，接种计划计算，登记疫苗时程序判断，处理适龄儿童历史数据。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磋商保证金退还: 1）未成交供应商：磋商结束后，将根据所提供信息退还各供应商保证金，无需亲自前来办理； 2）成交供应商：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 中标服务费查询请联系财务部：029-89286620-808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完全理解并接受对合格投标人、合格的货物、工程或服务要求，根据供应商响应文件《服务要求偏差表》，结合磋商文件第三章“★”标识的实质性要求没有负偏离。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3响应偏差表及商务响应说明.docx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服务要求的逐项响应情况进行评审： (1)技术参数与性能指标清晰明确，符合本项目服务要求，技术参数与性能指标优于或完全满足磋商文件要求计15分； (2)标“▲”项参数为重要参数，每有一个负偏离扣1分；其余参数有负偏离的每有1项扣0.5分，扣完为止。 注：应答标注为“▲”的参数时，应提供佐证材料（不限于功能截图、操作手册、彩页、说明书等），未提供者视为负偏离。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系统运维方案</w:t>
            </w:r>
          </w:p>
        </w:tc>
        <w:tc>
          <w:tcPr>
            <w:tcW w:type="dxa" w:w="2492"/>
          </w:tcPr>
          <w:p>
            <w:pPr>
              <w:pStyle w:val="null3"/>
            </w:pPr>
            <w:r>
              <w:rPr>
                <w:rFonts w:ascii="仿宋_GB2312" w:hAnsi="仿宋_GB2312" w:cs="仿宋_GB2312" w:eastAsia="仿宋_GB2312"/>
              </w:rPr>
              <w:t>提供本项目系统运维详细方案，包含系统运维、数据交换运维与监管、安全运维、省免疫管理平台功能升级维护。（12分） 1、功能内容描述详细完善，技术方案科学合理，各参数功能完全满足磋商文件要求，计12分； 2、功能内容描述较详细，技术方案较合理，各参数功能基本满足磋商文件要求，计9分； 3、功能内容描述较模糊，技术方案内容缺失，部分参数功能不满足磋商文件要求，计6分； 4、功能描述空泛，技术方案不合理，各参数功能不满足磋商文件要求，计3分；未提供计0分。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省级疫苗追溯系统功能完善方案</w:t>
            </w:r>
          </w:p>
        </w:tc>
        <w:tc>
          <w:tcPr>
            <w:tcW w:type="dxa" w:w="2492"/>
          </w:tcPr>
          <w:p>
            <w:pPr>
              <w:pStyle w:val="null3"/>
            </w:pPr>
            <w:r>
              <w:rPr>
                <w:rFonts w:ascii="仿宋_GB2312" w:hAnsi="仿宋_GB2312" w:cs="仿宋_GB2312" w:eastAsia="仿宋_GB2312"/>
              </w:rPr>
              <w:t>提供本项目省级疫苗追溯系统功能完善的详细方案。（12分） 1、功能内容描述详细完善，技术方案科学合理，各参数功能完全满足磋商文件要求，计12分； 2、功能内容描述较详细，技术方案较合理，各参数功能基本满足磋商文件要求，计9分； 3、功能内容描述较模糊，技术方案内容缺失，部分参数功能不满足磋商文件要求，计6分； 4、功能描述空泛，技术方案不合理，各参数功能不满足磋商文件要求，计3分；未提供计0分。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国家免疫规划百白破疫苗和白破疫苗免疫程序调整实施技术方案</w:t>
            </w:r>
          </w:p>
        </w:tc>
        <w:tc>
          <w:tcPr>
            <w:tcW w:type="dxa" w:w="2492"/>
          </w:tcPr>
          <w:p>
            <w:pPr>
              <w:pStyle w:val="null3"/>
            </w:pPr>
            <w:r>
              <w:rPr>
                <w:rFonts w:ascii="仿宋_GB2312" w:hAnsi="仿宋_GB2312" w:cs="仿宋_GB2312" w:eastAsia="仿宋_GB2312"/>
              </w:rPr>
              <w:t>提供本项目国家免疫规划百白破疫苗和白破疫苗免疫程序调整实施技术方案。（12分） 1、功能内容描述详细完善，技术方案科学合理，各参数功能完全满足磋商文件要求，计12分； 2、功能内容描述较详细，技术方案较合理，各参数功能基本满足磋商文件要求，计9分； 3、功能内容描述较模糊，技术方案内容缺失，部分参数功能不满足磋商文件要求，计6分； 4、功能描述空泛，技术方案不合理，各参数功能不满足磋商文件要求，计3分；未提供计0分。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项目负责人（1名） 1、提供有效的人力资源和社会保障部门及工业和信息化部颁发的计算机技术与软件专业技术资格信息系统项目管理师高级资格证书，计2分； 2、项目负责人具有类似项目经验证明资料，每提供一个得1分，最高得3分，没有不得分。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项目团队（除项目负责人外） 根据供应商提供的本项目组织架构、人员配备以及管理方案进行综合评审： 1、人员配备完善、项目组织架构清晰，职责分工明确，管理方案非常合理、协调性高，完全适用且优于本项目需求的，得5分； 2、人员配备较完善、项目组织架构一般，职责分工较明确，管理方案及协调性一般，基本适用本项目需求的，得3分； 3、人员配备不合理，缺少项目组织架构，职责分工简单，管理方案及协调性不合理，有不适用本项目需求的，得2分；未提供得0分。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著作权</w:t>
            </w:r>
          </w:p>
        </w:tc>
        <w:tc>
          <w:tcPr>
            <w:tcW w:type="dxa" w:w="2492"/>
          </w:tcPr>
          <w:p>
            <w:pPr>
              <w:pStyle w:val="null3"/>
            </w:pPr>
            <w:r>
              <w:rPr>
                <w:rFonts w:ascii="仿宋_GB2312" w:hAnsi="仿宋_GB2312" w:cs="仿宋_GB2312" w:eastAsia="仿宋_GB2312"/>
              </w:rPr>
              <w:t>供应商提供与本项目采购需求相关的计算机软件著作权（或专利），如包含类似“儿童免疫接种”、“产科接种”、“免疫规划信息管理系统”、“疫苗追溯系统”“冷链监测系统”关键词的著作权，每提供一项计算机软件著作权每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提供针对本项目的应急预案，项目实施过程中针对突发事件和重大业务时间节点的风险防范措施及应急突发事件的处理预案。 1、应急措施全面合理，有针对性、可实施性强，得4分； 2、应急措施较为全面，可实施性较强，得3分； 3、应急措施描述简单、无针对性，可实施性差，得2分；无应急措施的该项不得分。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根据提供的售后方案及承诺整体情况进行评审（包括但不限于：售后服务规划、服务团队、售后响应承诺、应急故障处理、运营保障等）。 1、售后服务方案全面合理，内容详细完整、适用性强，可全面满足采购人的售后服务需求，售后服务能力高，得5分； 2、售后服务方案较为全面，有基本的服务流程和内容，基本满足采购人的需求，得3分； 3、售后服务方案适用性差、不能满足采购人的需求，得2分；无售后方案的该项不得分。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根据提供的培训方案，包括但不限于培训内容、培训计划、人员安排、后期管理等涉及项目后续发展有关技术培训、支持的具体实施办法。 1、培训方案完整详细、考虑周全，严谨，职责清晰明确，具有较强的可操作性，教师专业性较强，得5分； 2、培训方案一般，培训方案具备可操作性，得3分； 3、培训方案一般，可操作性差，得2分；无培训方案的该项不得分。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提供2022年1月1日以来供应商类似项目的业绩合同（以合同签订日期为准），附业绩合同扫描件加盖公章，每份2分，满分10分；未提供不计分。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